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u w:val="single"/>
        </w:rPr>
        <w:t>Temperature &amp; Heating Degree Days</w:t>
      </w:r>
    </w:p>
    <w:p>
      <w:pPr>
        <w:pStyle w:val="style0"/>
      </w:pPr>
      <w:r>
        <w:rPr>
          <w:b/>
          <w:bCs/>
          <w:u w:val="single"/>
        </w:rPr>
      </w:r>
    </w:p>
    <w:p>
      <w:pPr>
        <w:pStyle w:val="style0"/>
      </w:pPr>
      <w:r>
        <w:rPr/>
        <w:t xml:space="preserve">By convention (according to the inter-webs), a base temperature of 60 – 65 </w:t>
      </w:r>
      <w:r>
        <w:rPr>
          <w:vertAlign w:val="superscript"/>
        </w:rPr>
        <w:t>o</w:t>
      </w:r>
      <w:r>
        <w:rPr/>
        <w:t xml:space="preserve">F is used to determine heating and cooling degree days. Slightly different values seem better suited to Princeton – the better fitting lines cross zero at 60 </w:t>
      </w:r>
      <w:r>
        <w:rPr>
          <w:vertAlign w:val="superscript"/>
        </w:rPr>
        <w:t>o</w:t>
      </w:r>
      <w:r>
        <w:rPr/>
        <w:t xml:space="preserve">F (heating) and at 55 </w:t>
      </w:r>
      <w:bookmarkStart w:id="0" w:name="__DdeLink__43_1219214533"/>
      <w:r>
        <w:rPr>
          <w:vertAlign w:val="superscript"/>
        </w:rPr>
        <w:t>o</w:t>
      </w:r>
      <w:bookmarkEnd w:id="0"/>
      <w:r>
        <w:rPr/>
        <w:t xml:space="preserve">F (cooling). </w:t>
      </w:r>
      <w:r>
        <w:rPr/>
        <w:t>W</w:t>
      </w:r>
      <w:r>
        <w:rPr/>
        <w:t xml:space="preserve">hen the number of degree days is small </w:t>
      </w:r>
      <w:r>
        <w:rPr/>
        <w:t>the data</w:t>
      </w:r>
      <w:r>
        <w:rPr/>
        <w:t xml:space="preserve"> get</w:t>
      </w:r>
      <w:r>
        <w:rPr/>
        <w:t>s a bit</w:t>
      </w:r>
      <w:r>
        <w:rPr/>
        <w:t xml:space="preserve"> noisy –</w:t>
      </w:r>
      <w:r>
        <w:rPr/>
        <w:t xml:space="preserve"> probably since average monthly temperatures masks higher daily variation in mild weather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03784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Sources:</w:t>
      </w:r>
    </w:p>
    <w:p>
      <w:pPr>
        <w:pStyle w:val="style0"/>
      </w:pPr>
      <w:r>
        <w:rPr/>
        <w:t xml:space="preserve">Heating / cooling degree days: </w:t>
      </w:r>
      <w:hyperlink r:id="rId3">
        <w:r>
          <w:rPr>
            <w:rStyle w:val="style15"/>
            <w:rStyle w:val="style15"/>
          </w:rPr>
          <w:t>http://weatherdatadepot.com/</w:t>
        </w:r>
      </w:hyperlink>
    </w:p>
    <w:p>
      <w:pPr>
        <w:pStyle w:val="style0"/>
      </w:pPr>
      <w:r>
        <w:rPr/>
        <w:t xml:space="preserve">Historical monthly temperature: </w:t>
      </w:r>
      <w:hyperlink r:id="rId4">
        <w:r>
          <w:rPr>
            <w:rStyle w:val="style15"/>
            <w:rStyle w:val="style15"/>
          </w:rPr>
          <w:t>http://climate.rutgers.edu/stateclim_v1/data/njhisttemp.html</w:t>
        </w:r>
      </w:hyperlink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>
          <w:b/>
          <w:bCs/>
          <w:u w:val="single"/>
        </w:rPr>
        <w:t>Town &amp; Borough</w:t>
      </w:r>
    </w:p>
    <w:p>
      <w:pPr>
        <w:pStyle w:val="style0"/>
      </w:pPr>
      <w:r>
        <w:rPr>
          <w:b/>
          <w:bCs/>
          <w:u w:val="single"/>
        </w:rPr>
      </w:r>
    </w:p>
    <w:p>
      <w:pPr>
        <w:pStyle w:val="style0"/>
      </w:pPr>
      <w:r>
        <w:rPr/>
        <w:t>Comparative plots vs time and temperature highlight the lower residential and higher commercial usage  in the boro. Comparing residential meter counts to 2010 census data:</w:t>
      </w:r>
    </w:p>
    <w:p>
      <w:pPr>
        <w:pStyle w:val="style0"/>
      </w:pPr>
      <w:r>
        <w:rPr/>
      </w:r>
    </w:p>
    <w:tbl>
      <w:tblPr>
        <w:tblW w:type="dxa" w:w="9972"/>
        <w:jc w:val="left"/>
        <w:tblBorders/>
      </w:tblPr>
      <w:tblGrid>
        <w:gridCol w:w="911"/>
        <w:gridCol w:w="1584"/>
        <w:gridCol w:w="1778"/>
        <w:gridCol w:w="1853"/>
        <w:gridCol w:w="996"/>
        <w:gridCol w:w="1425"/>
        <w:gridCol w:w="1425"/>
      </w:tblGrid>
      <w:tr>
        <w:trPr>
          <w:cantSplit w:val="false"/>
        </w:trPr>
        <w:tc>
          <w:tcPr>
            <w:tcW w:type="dxa" w:w="911"/>
            <w:tcBorders/>
            <w:shd w:fill="C0C0C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</w:tc>
        <w:tc>
          <w:tcPr>
            <w:tcW w:type="dxa" w:w="1584"/>
            <w:tcBorders/>
            <w:shd w:fill="C0C0C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rFonts w:ascii="Liberation Mono" w:hAnsi="Liberation Mono"/>
                <w:sz w:val="18"/>
                <w:szCs w:val="18"/>
              </w:rPr>
              <w:t>Housing Units</w:t>
            </w:r>
          </w:p>
          <w:p>
            <w:pPr>
              <w:pStyle w:val="style0"/>
              <w:jc w:val="center"/>
            </w:pPr>
            <w:r>
              <w:rPr>
                <w:rFonts w:ascii="Liberation Mono" w:hAnsi="Liberation Mono"/>
                <w:sz w:val="18"/>
                <w:szCs w:val="18"/>
              </w:rPr>
              <w:t>(2010 Census)</w:t>
            </w:r>
          </w:p>
        </w:tc>
        <w:tc>
          <w:tcPr>
            <w:tcW w:type="dxa" w:w="1778"/>
            <w:tcBorders/>
            <w:shd w:fill="C0C0C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rFonts w:ascii="Liberation Mono" w:hAnsi="Liberation Mono"/>
                <w:sz w:val="18"/>
                <w:szCs w:val="18"/>
              </w:rPr>
              <w:t>Electricity</w:t>
            </w:r>
          </w:p>
          <w:p>
            <w:pPr>
              <w:pStyle w:val="style0"/>
              <w:jc w:val="center"/>
            </w:pPr>
            <w:r>
              <w:rPr>
                <w:rFonts w:ascii="Liberation Mono" w:hAnsi="Liberation Mono"/>
                <w:sz w:val="18"/>
                <w:szCs w:val="18"/>
              </w:rPr>
              <w:t>Meters</w:t>
            </w:r>
          </w:p>
          <w:p>
            <w:pPr>
              <w:pStyle w:val="style0"/>
              <w:jc w:val="center"/>
            </w:pPr>
            <w:r>
              <w:rPr>
                <w:rFonts w:ascii="Liberation Mono" w:hAnsi="Liberation Mono"/>
                <w:sz w:val="18"/>
                <w:szCs w:val="18"/>
              </w:rPr>
              <w:t>(12/2010 PSE&amp;G)</w:t>
            </w:r>
          </w:p>
        </w:tc>
        <w:tc>
          <w:tcPr>
            <w:tcW w:type="dxa" w:w="1853"/>
            <w:tcBorders/>
            <w:shd w:fill="C0C0C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rFonts w:ascii="Liberation Mono" w:hAnsi="Liberation Mono"/>
                <w:sz w:val="18"/>
                <w:szCs w:val="18"/>
              </w:rPr>
              <w:t>Gas</w:t>
            </w:r>
          </w:p>
          <w:p>
            <w:pPr>
              <w:pStyle w:val="style0"/>
              <w:jc w:val="center"/>
            </w:pPr>
            <w:r>
              <w:rPr>
                <w:rFonts w:ascii="Liberation Mono" w:hAnsi="Liberation Mono"/>
                <w:sz w:val="18"/>
                <w:szCs w:val="18"/>
              </w:rPr>
              <w:t>Meters</w:t>
            </w:r>
          </w:p>
          <w:p>
            <w:pPr>
              <w:pStyle w:val="style0"/>
              <w:jc w:val="center"/>
            </w:pPr>
            <w:r>
              <w:rPr>
                <w:rFonts w:ascii="Liberation Mono" w:hAnsi="Liberation Mono"/>
                <w:sz w:val="18"/>
                <w:szCs w:val="18"/>
              </w:rPr>
              <w:t>(12/2010 PSE&amp;G)</w:t>
            </w:r>
          </w:p>
        </w:tc>
        <w:tc>
          <w:tcPr>
            <w:tcW w:type="dxa" w:w="996"/>
            <w:tcBorders/>
            <w:shd w:fill="C0C0C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rFonts w:ascii="Liberation Mono" w:hAnsi="Liberation Mono"/>
                <w:sz w:val="18"/>
                <w:szCs w:val="18"/>
              </w:rPr>
              <w:t>Population</w:t>
            </w:r>
          </w:p>
        </w:tc>
        <w:tc>
          <w:tcPr>
            <w:tcW w:type="dxa" w:w="1425"/>
            <w:tcBorders/>
            <w:shd w:fill="C0C0C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rFonts w:ascii="Liberation Mono" w:hAnsi="Liberation Mono"/>
                <w:sz w:val="18"/>
                <w:szCs w:val="18"/>
              </w:rPr>
              <w:t>Population</w:t>
            </w:r>
          </w:p>
          <w:p>
            <w:pPr>
              <w:pStyle w:val="style0"/>
              <w:jc w:val="center"/>
            </w:pPr>
            <w:r>
              <w:rPr>
                <w:rFonts w:ascii="Liberation Mono" w:hAnsi="Liberation Mono"/>
                <w:sz w:val="18"/>
                <w:szCs w:val="18"/>
              </w:rPr>
              <w:t>Density</w:t>
            </w:r>
          </w:p>
        </w:tc>
        <w:tc>
          <w:tcPr>
            <w:tcW w:type="dxa" w:w="142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11"/>
            <w:tcBorders/>
            <w:shd w:fill="C0C0C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Liberation Mono" w:hAnsi="Liberation Mono"/>
                <w:sz w:val="18"/>
                <w:szCs w:val="18"/>
              </w:rPr>
              <w:t>Boro</w:t>
            </w:r>
          </w:p>
        </w:tc>
        <w:tc>
          <w:tcPr>
            <w:tcW w:type="dxa" w:w="1584"/>
            <w:tcBorders>
              <w:top w:color="AEA79F" w:space="0" w:sz="2" w:val="single"/>
              <w:left w:color="AEA79F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right"/>
            </w:pPr>
            <w:r>
              <w:rPr>
                <w:rFonts w:ascii="Liberation Mono" w:hAnsi="Liberation Mono"/>
                <w:sz w:val="18"/>
                <w:szCs w:val="18"/>
              </w:rPr>
              <w:t>3,488</w:t>
            </w:r>
          </w:p>
        </w:tc>
        <w:tc>
          <w:tcPr>
            <w:tcW w:type="dxa" w:w="1778"/>
            <w:tcBorders>
              <w:top w:color="AEA79F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right"/>
            </w:pPr>
            <w:r>
              <w:rPr>
                <w:rFonts w:ascii="Liberation Mono" w:hAnsi="Liberation Mono"/>
                <w:sz w:val="18"/>
                <w:szCs w:val="18"/>
              </w:rPr>
              <w:t>3,871</w:t>
            </w:r>
          </w:p>
        </w:tc>
        <w:tc>
          <w:tcPr>
            <w:tcW w:type="dxa" w:w="1853"/>
            <w:tcBorders>
              <w:top w:color="AEA79F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right"/>
            </w:pPr>
            <w:r>
              <w:rPr>
                <w:rFonts w:ascii="Liberation Mono" w:hAnsi="Liberation Mono"/>
                <w:sz w:val="18"/>
                <w:szCs w:val="18"/>
              </w:rPr>
              <w:t>3,047</w:t>
            </w:r>
          </w:p>
        </w:tc>
        <w:tc>
          <w:tcPr>
            <w:tcW w:type="dxa" w:w="996"/>
            <w:tcBorders>
              <w:top w:color="AEA79F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right"/>
            </w:pPr>
            <w:r>
              <w:rPr>
                <w:rFonts w:ascii="Liberation Mono" w:hAnsi="Liberation Mono"/>
                <w:sz w:val="18"/>
                <w:szCs w:val="18"/>
              </w:rPr>
              <w:t>12,307</w:t>
            </w:r>
          </w:p>
        </w:tc>
        <w:tc>
          <w:tcPr>
            <w:tcW w:type="dxa" w:w="1425"/>
            <w:tcBorders>
              <w:top w:color="AEA79F" w:space="0" w:sz="2" w:val="single"/>
              <w:right w:color="AEA79F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right"/>
            </w:pPr>
            <w:r>
              <w:rPr>
                <w:rFonts w:ascii="Liberation Mono" w:hAnsi="Liberation Mono"/>
                <w:sz w:val="18"/>
                <w:szCs w:val="18"/>
              </w:rPr>
              <w:t>1,825</w:t>
            </w:r>
          </w:p>
        </w:tc>
        <w:tc>
          <w:tcPr>
            <w:tcW w:type="dxa" w:w="142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trHeight w:hRule="atLeast" w:val="377"/>
          <w:cantSplit w:val="false"/>
        </w:trPr>
        <w:tc>
          <w:tcPr>
            <w:tcW w:type="dxa" w:w="911"/>
            <w:tcBorders/>
            <w:shd w:fill="C0C0C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Liberation Mono" w:hAnsi="Liberation Mono"/>
                <w:sz w:val="18"/>
                <w:szCs w:val="18"/>
              </w:rPr>
              <w:t>Town</w:t>
            </w:r>
          </w:p>
        </w:tc>
        <w:tc>
          <w:tcPr>
            <w:tcW w:type="dxa" w:w="1584"/>
            <w:tcBorders>
              <w:left w:color="AEA79F" w:space="0" w:sz="2" w:val="single"/>
              <w:bottom w:color="AEA79F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right"/>
            </w:pPr>
            <w:r>
              <w:rPr>
                <w:rFonts w:ascii="Liberation Mono" w:hAnsi="Liberation Mono"/>
                <w:sz w:val="18"/>
                <w:szCs w:val="18"/>
              </w:rPr>
              <w:t>6,814</w:t>
            </w:r>
          </w:p>
        </w:tc>
        <w:tc>
          <w:tcPr>
            <w:tcW w:type="dxa" w:w="1778"/>
            <w:tcBorders>
              <w:bottom w:color="AEA79F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right"/>
            </w:pPr>
            <w:r>
              <w:rPr>
                <w:rFonts w:ascii="Liberation Mono" w:hAnsi="Liberation Mono"/>
                <w:sz w:val="18"/>
                <w:szCs w:val="18"/>
              </w:rPr>
              <w:t>5,955</w:t>
            </w:r>
          </w:p>
        </w:tc>
        <w:tc>
          <w:tcPr>
            <w:tcW w:type="dxa" w:w="1853"/>
            <w:tcBorders>
              <w:bottom w:color="AEA79F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right"/>
            </w:pPr>
            <w:r>
              <w:rPr>
                <w:rFonts w:ascii="Liberation Mono" w:hAnsi="Liberation Mono"/>
                <w:sz w:val="18"/>
                <w:szCs w:val="18"/>
              </w:rPr>
              <w:t>4,846</w:t>
            </w:r>
          </w:p>
        </w:tc>
        <w:tc>
          <w:tcPr>
            <w:tcW w:type="dxa" w:w="996"/>
            <w:tcBorders>
              <w:bottom w:color="AEA79F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right"/>
            </w:pPr>
            <w:r>
              <w:rPr>
                <w:rFonts w:ascii="Liberation Mono" w:hAnsi="Liberation Mono"/>
                <w:sz w:val="18"/>
                <w:szCs w:val="18"/>
              </w:rPr>
              <w:t>16,265</w:t>
            </w:r>
          </w:p>
        </w:tc>
        <w:tc>
          <w:tcPr>
            <w:tcW w:type="dxa" w:w="1425"/>
            <w:tcBorders>
              <w:bottom w:color="AEA79F" w:space="0" w:sz="2" w:val="single"/>
              <w:right w:color="AEA79F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right"/>
            </w:pPr>
            <w:r>
              <w:rPr>
                <w:rFonts w:ascii="Liberation Mono" w:hAnsi="Liberation Mono"/>
                <w:sz w:val="18"/>
                <w:szCs w:val="18"/>
              </w:rPr>
              <w:t>423</w:t>
            </w:r>
          </w:p>
        </w:tc>
        <w:tc>
          <w:tcPr>
            <w:tcW w:type="dxa" w:w="142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</w:r>
          </w:p>
          <w:p>
            <w:pPr>
              <w:pStyle w:val="style24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03784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03784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03784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03784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Energy use responds to temperature roughly linearly, which suggests a linear model of he form: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usage = base load + h * heating degree days + c * cooling degree days</w:t>
      </w:r>
    </w:p>
    <w:p>
      <w:pPr>
        <w:pStyle w:val="style0"/>
      </w:pPr>
      <w:r>
        <w:rPr/>
      </w:r>
    </w:p>
    <w:p>
      <w:pPr>
        <w:pStyle w:val="style0"/>
      </w:pPr>
      <w:r>
        <w:rPr/>
        <w:t>Which can be visualized in a “you are here” plot. High values on either axes are “bad” in that they mean higher consumption for each degree day increase. The are of a bubble indicates base load.</w:t>
      </w:r>
    </w:p>
    <w:p>
      <w:pPr>
        <w:pStyle w:val="style0"/>
      </w:pPr>
      <w:r>
        <w:rPr/>
      </w:r>
    </w:p>
    <w:p>
      <w:pPr>
        <w:pStyle w:val="style0"/>
      </w:pPr>
      <w:r>
        <w:rPr/>
        <w:t>The larger bubbles are the Commercial + Industrial category and are distinguished by the dark borders. Finally, regression outputs are listed – the fits are not great, but will do for visualization.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03784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</w:pPr>
      <w:r>
        <w:rPr>
          <w:b/>
          <w:bCs/>
          <w:u w:val="single"/>
        </w:rPr>
        <w:t>Per Meter Regressions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Electricity: TWP Residential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-----------------------Estimated Coefficients-----------------------------------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 0.0004     0.0001       5.96     0.0000     0.0003     0.0005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 0.0011     0.0001      10.67     0.0000     0.0009     0.0014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    0.6285     0.0377      16.69     0.0000     0.5547     0.7024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0.6788</w:t>
        <w:tab/>
        <w:tab/>
        <w:tab/>
        <w:t>Adj R-squared:     0.6675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b/>
          <w:bCs/>
        </w:rPr>
        <w:t>Electricity: BORO Residential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 0.0002     0.0000       5.57     0.0000     0.0002     0.0003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 0.0007     0.0001       9.67     0.0000     0.0005     0.0008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    0.4103     0.0241      17.00     0.0000     0.3630     0.4576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0.6320</w:t>
        <w:tab/>
        <w:tab/>
        <w:tab/>
        <w:t>Adj R-squared:     0.6191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b/>
          <w:bCs/>
        </w:rPr>
        <w:t>Electricity: TWP Commercial + Industrial + Street Lighting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 0.0007     0.0004       1.72     0.0908    -0.0001     0.0015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 0.0022     0.0007       3.31     0.0016     0.0009     0.0035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    6.3650     0.2350      27.08     0.0000     5.9044     6.8257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0.1731</w:t>
        <w:tab/>
        <w:tab/>
        <w:tab/>
        <w:t>Adj R-squared:     0.1441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b/>
          <w:bCs/>
          <w:u w:val="none"/>
        </w:rPr>
        <w:t>Electricity: BORO Commercial + Industrial + Street Lighting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-0.0036     0.0023      -1.54     0.1292    -0.0082     0.0010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 0.0000     0.0038       0.01     0.9924    -0.0074     0.0075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   14.3125     1.3358      10.71     0.0000    11.6944    16.9306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0.0812</w:t>
        <w:tab/>
        <w:tab/>
        <w:tab/>
      </w:r>
      <w:r>
        <w:rPr>
          <w:rFonts w:ascii="Liberation Mono" w:hAnsi="Liberation Mono"/>
          <w:sz w:val="18"/>
          <w:szCs w:val="18"/>
        </w:rPr>
        <w:t>Adj R-squared:     0.0489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  <w:pageBreakBefore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b/>
          <w:bCs/>
        </w:rPr>
        <w:t xml:space="preserve">Gas: </w:t>
      </w:r>
      <w:r>
        <w:rPr>
          <w:b/>
          <w:bCs/>
        </w:rPr>
        <w:t>TWP Residential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 0.2360     0.0208      11.34     0.0000     0.1952     0.2768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-0.0227     0.0337      -0.67     0.5028    -0.0888     0.0433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   38.6897    11.8354       3.27     0.0018    15.4924    61.8871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0.8389</w:t>
        <w:tab/>
        <w:tab/>
        <w:tab/>
        <w:t>Adj R-squared:     0.8332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Gas: </w:t>
      </w:r>
      <w:r>
        <w:rPr>
          <w:b/>
          <w:bCs/>
        </w:rPr>
        <w:t>PRINCETON BORO Residential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 0.1537     0.0146      10.52     0.0000     0.1251     0.1823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-0.0195     0.0237      -0.83     0.4129    -0.0659     0.0268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   28.0604     8.3046       3.38     0.0013    11.7834    44.3374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0.8217</w:t>
        <w:tab/>
        <w:tab/>
        <w:tab/>
        <w:t>Adj R-squared:     0.8154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Gas: </w:t>
      </w:r>
      <w:r>
        <w:rPr>
          <w:b/>
          <w:bCs/>
        </w:rPr>
        <w:t xml:space="preserve">TWP Commercial </w:t>
      </w:r>
      <w:r>
        <w:rPr>
          <w:b/>
          <w:bCs/>
        </w:rPr>
        <w:t xml:space="preserve">+ </w:t>
      </w:r>
      <w:r>
        <w:rPr>
          <w:b/>
          <w:bCs/>
        </w:rPr>
        <w:t xml:space="preserve">Industrial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 0.9442     0.1253       7.54     0.0000     0.6987     1.1897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-0.2888     0.2028      -1.42     0.1601    -0.6863     0.1088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  542.0172    71.2184       7.61     0.0000   402.4291   681.6053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0.7343</w:t>
        <w:tab/>
        <w:tab/>
        <w:tab/>
      </w:r>
      <w:r>
        <w:rPr>
          <w:rFonts w:ascii="Liberation Mono" w:hAnsi="Liberation Mono"/>
          <w:sz w:val="18"/>
          <w:szCs w:val="18"/>
        </w:rPr>
        <w:t>Adj R-squared:     0.7249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Gas: </w:t>
      </w:r>
      <w:r>
        <w:rPr>
          <w:b/>
          <w:bCs/>
        </w:rPr>
        <w:t xml:space="preserve">BORO Commercial </w:t>
      </w:r>
      <w:r>
        <w:rPr>
          <w:b/>
          <w:bCs/>
        </w:rPr>
        <w:t xml:space="preserve">+ </w:t>
      </w:r>
      <w:r>
        <w:rPr>
          <w:b/>
          <w:bCs/>
        </w:rPr>
        <w:t xml:space="preserve">Industrial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 1.5780     0.4725       3.34     0.0015     0.6518     2.5042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-0.4835     0.7652      -0.63     0.5301    -1.9832     1.0163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 2723.7919   268.6715      10.14     0.0000  2197.1958  3250.3881</w:t>
      </w:r>
    </w:p>
    <w:p>
      <w:pPr>
        <w:pStyle w:val="style0"/>
      </w:pPr>
      <w:r>
        <w:rPr>
          <w:rFonts w:ascii="Liberation Mono" w:hAnsi="Liberation Mono"/>
          <w:b/>
          <w:bCs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0.3518</w:t>
        <w:tab/>
        <w:tab/>
        <w:tab/>
        <w:t>Adj R-squared:     0.3287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  <w:bCs/>
          <w:u w:val="single"/>
        </w:rPr>
        <w:t>Regressions of Aggregate Consumption</w:t>
      </w:r>
    </w:p>
    <w:p>
      <w:pPr>
        <w:pStyle w:val="style0"/>
      </w:pPr>
      <w:r>
        <w:rPr>
          <w:b/>
          <w:bCs/>
          <w:u w:val="single"/>
        </w:rPr>
      </w:r>
    </w:p>
    <w:p>
      <w:pPr>
        <w:pStyle w:val="style0"/>
      </w:pPr>
      <w:r>
        <w:rPr>
          <w:b/>
          <w:bCs/>
        </w:rPr>
        <w:t>Electricity:</w:t>
      </w:r>
      <w:r>
        <w:rPr>
          <w:b/>
          <w:bCs/>
        </w:rPr>
        <w:t xml:space="preserve"> TWP Residential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 2.4855     0.3938       6.31     0.0000     1.7136     3.2574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 7.2339     0.6402      11.30     0.0000     5.9791     8.4886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 3714.8522   224.7784      16.53     0.0000  3274.2866  4155.4178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0.7033</w:t>
        <w:tab/>
        <w:tab/>
        <w:tab/>
        <w:t>Adj R-squared:     0.6929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b/>
          <w:bCs/>
        </w:rPr>
        <w:t>Electricity:</w:t>
      </w:r>
      <w:r>
        <w:rPr>
          <w:b/>
          <w:bCs/>
        </w:rPr>
        <w:t xml:space="preserve"> BORO Residential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 0.9278     0.1657       5.60     0.0000     0.6030     1.2525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 2.6527     0.2694       9.85     0.0000     2.1248     3.1807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 1585.0312    94.5784      16.76     0.0000  1399.6575  1770.4049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0.6414</w:t>
        <w:tab/>
        <w:tab/>
        <w:tab/>
      </w:r>
      <w:r>
        <w:rPr>
          <w:rFonts w:ascii="Liberation Mono" w:hAnsi="Liberation Mono"/>
          <w:sz w:val="18"/>
          <w:szCs w:val="18"/>
        </w:rPr>
        <w:t>Adj R-squared:     0.6289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b/>
          <w:bCs/>
        </w:rPr>
        <w:t>Electricity:</w:t>
      </w:r>
      <w:r>
        <w:rPr>
          <w:b/>
          <w:bCs/>
        </w:rPr>
        <w:t xml:space="preserve"> TWP Commercial </w:t>
      </w:r>
      <w:r>
        <w:rPr>
          <w:b/>
          <w:bCs/>
        </w:rPr>
        <w:t xml:space="preserve">+ </w:t>
      </w:r>
      <w:r>
        <w:rPr>
          <w:b/>
          <w:bCs/>
        </w:rPr>
        <w:t xml:space="preserve">Industrial </w:t>
      </w:r>
      <w:r>
        <w:rPr>
          <w:b/>
          <w:bCs/>
        </w:rPr>
        <w:t xml:space="preserve">+ </w:t>
      </w:r>
      <w:r>
        <w:rPr>
          <w:b/>
          <w:bCs/>
        </w:rPr>
        <w:t>Street Lighting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 0.8804     0.3218       2.74     0.0083     0.2498     1.5111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 2.1203     0.5230       4.05     0.0002     1.0952     3.1453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 5221.3054   183.6393      28.43     0.0000  4861.3725  5581.2384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0.2247</w:t>
        <w:tab/>
        <w:tab/>
        <w:tab/>
        <w:t>Adj R-squared:     0.1975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b/>
          <w:bCs/>
        </w:rPr>
        <w:t xml:space="preserve">Electricity: </w:t>
      </w:r>
      <w:r>
        <w:rPr>
          <w:b/>
          <w:bCs/>
        </w:rPr>
        <w:t xml:space="preserve">BORO Commercial </w:t>
      </w:r>
      <w:r>
        <w:rPr>
          <w:b/>
          <w:bCs/>
        </w:rPr>
        <w:t xml:space="preserve">+ </w:t>
      </w:r>
      <w:r>
        <w:rPr>
          <w:b/>
          <w:bCs/>
        </w:rPr>
        <w:t xml:space="preserve">Industrial </w:t>
      </w:r>
      <w:r>
        <w:rPr>
          <w:b/>
          <w:bCs/>
        </w:rPr>
        <w:t xml:space="preserve">+ </w:t>
      </w:r>
      <w:r>
        <w:rPr>
          <w:b/>
          <w:bCs/>
        </w:rPr>
        <w:t>Street Lighting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 -3.0804     2.2450      -1.37     0.1754    -7.4806     1.3198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  0.4627     3.6491       0.13     0.8996    -6.6896     7.6150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13731.5694  1281.3064      10.72     0.0000 11220.2088 16242.9300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0.0736</w:t>
        <w:tab/>
        <w:tab/>
        <w:tab/>
      </w:r>
      <w:r>
        <w:rPr>
          <w:rFonts w:ascii="Liberation Mono" w:hAnsi="Liberation Mono"/>
          <w:sz w:val="18"/>
          <w:szCs w:val="18"/>
        </w:rPr>
        <w:t>Adj R-squared:     0.0411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  <w:pageBreakBefore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b/>
          <w:bCs/>
        </w:rPr>
        <w:t xml:space="preserve">Gas: </w:t>
      </w:r>
      <w:r>
        <w:rPr>
          <w:b/>
          <w:bCs/>
        </w:rPr>
        <w:t>TWP Residential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1161.7652   102.3517      11.35     0.0000   961.1558  1362.3746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-108.2812   165.7356      -0.65     0.5162  -433.1229   216.5606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intercept 190223.5438 58193.8067       3.27     0.0018 76163.6828 304283.4049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0.8389</w:t>
        <w:tab/>
        <w:tab/>
        <w:tab/>
        <w:t>Adj R-squared:     0.8331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Gas:</w:t>
      </w:r>
      <w:r>
        <w:rPr>
          <w:b/>
          <w:bCs/>
        </w:rPr>
        <w:t xml:space="preserve"> BORO Residential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469.8198    44.3576      10.59     0.0000   382.8789   556.7607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-57.7859    71.8271      -0.80     0.4245  -198.5671    82.9952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85728.5335 25220.2503       3.40     0.0013 36296.8429 135160.2241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0.8231</w:t>
        <w:tab/>
        <w:tab/>
        <w:tab/>
      </w:r>
      <w:r>
        <w:rPr>
          <w:rFonts w:ascii="Liberation Mono" w:hAnsi="Liberation Mono"/>
          <w:sz w:val="18"/>
          <w:szCs w:val="18"/>
        </w:rPr>
        <w:t>Adj R-squared:     0.8168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Gas:</w:t>
      </w:r>
      <w:r>
        <w:rPr>
          <w:b/>
          <w:bCs/>
        </w:rPr>
        <w:t xml:space="preserve"> TWP </w:t>
      </w:r>
      <w:bookmarkStart w:id="1" w:name="__DdeLink__53_1653076604"/>
      <w:r>
        <w:rPr>
          <w:b/>
          <w:bCs/>
        </w:rPr>
        <w:t xml:space="preserve">Commercial </w:t>
      </w:r>
      <w:r>
        <w:rPr>
          <w:b/>
          <w:bCs/>
        </w:rPr>
        <w:t xml:space="preserve">+ </w:t>
      </w:r>
      <w:bookmarkEnd w:id="1"/>
      <w:r>
        <w:rPr>
          <w:b/>
          <w:bCs/>
        </w:rPr>
        <w:t>Industrial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287.2078    34.2137       8.39     0.0000   220.1490   354.2666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 -75.1067    55.4013      -1.36     0.1806  -183.6933    33.4799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152260.6993 19452.7602       7.83     0.0000 114133.2893 190388.1093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0.7674</w:t>
        <w:tab/>
        <w:tab/>
        <w:tab/>
      </w:r>
      <w:r>
        <w:rPr>
          <w:rFonts w:ascii="Liberation Mono" w:hAnsi="Liberation Mono"/>
          <w:sz w:val="18"/>
          <w:szCs w:val="18"/>
        </w:rPr>
        <w:t>Adj R-squared:     0.7591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b/>
          <w:bCs/>
        </w:rPr>
        <w:t>Gas:</w:t>
      </w:r>
      <w:r>
        <w:rPr>
          <w:b/>
          <w:bCs/>
        </w:rPr>
        <w:t xml:space="preserve"> BORO </w:t>
      </w:r>
      <w:r>
        <w:rPr>
          <w:b/>
          <w:bCs/>
        </w:rPr>
        <w:t xml:space="preserve">Commercial </w:t>
      </w:r>
      <w:r>
        <w:rPr>
          <w:b/>
          <w:bCs/>
        </w:rPr>
        <w:t xml:space="preserve">+ </w:t>
      </w:r>
      <w:r>
        <w:rPr>
          <w:b/>
          <w:bCs/>
        </w:rPr>
        <w:t>Industrial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-----------------------Summary of Estimated Coefficients------------------------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>Variable       Coef    Std Err     t-stat    p-value    CI 2.5%   CI 97.5%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--------------------------------------------------------------------------------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HDD   877.4050   224.9157       3.90     0.0003   436.5703  1318.2397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>CDD  -151.3383   364.2003      -0.42     0.6793  -865.1708   562.4942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>intercept 1252617.1417 127879.6029       9.80     0.0000 1001973.1200 1503261.1634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  <w:t>R-squared:         0.3974</w:t>
        <w:tab/>
        <w:tab/>
        <w:tab/>
      </w:r>
      <w:r>
        <w:rPr>
          <w:rFonts w:ascii="Liberation Mono" w:hAnsi="Liberation Mono"/>
          <w:sz w:val="18"/>
          <w:szCs w:val="18"/>
        </w:rPr>
        <w:t>Adj R-squared:     0.3758</w:t>
      </w:r>
    </w:p>
    <w:p>
      <w:pPr>
        <w:pStyle w:val="style0"/>
      </w:pPr>
      <w:r>
        <w:rPr>
          <w:rFonts w:ascii="Liberation Mono" w:hAnsi="Liberation Mono"/>
          <w:sz w:val="18"/>
          <w:szCs w:val="18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7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Footnote anchor"/>
    <w:next w:val="style16"/>
    <w:rPr>
      <w:vertAlign w:val="superscript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  <w:style w:styleId="style23" w:type="paragraph">
    <w:name w:val="Footnote"/>
    <w:basedOn w:val="style0"/>
    <w:next w:val="style23"/>
    <w:pPr>
      <w:suppressLineNumbers/>
      <w:ind w:hanging="339" w:left="339" w:right="0"/>
    </w:pPr>
    <w:rPr>
      <w:sz w:val="20"/>
      <w:szCs w:val="20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png"/><Relationship Id="rId3" Type="http://schemas.openxmlformats.org/officeDocument/2006/relationships/hyperlink" Target="http://weatherdatadepot.com/" TargetMode="External"/><Relationship Id="rId4" Type="http://schemas.openxmlformats.org/officeDocument/2006/relationships/hyperlink" Target="http://climate.rutgers.edu/stateclim_v1/data/njhisttemp.html" TargetMode="External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9.png"/><Relationship Id="rId9" Type="http://schemas.openxmlformats.org/officeDocument/2006/relationships/image" Target="media/image20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2015-06-04T21:58:24.00Z</dcterms:created>
  <cp:revision>0</cp:revision>
</cp:coreProperties>
</file>