
<file path=[Content_Types].xml><?xml version=1.0 encoding=UTF-8 standalone=yes?><Types xmlns=http://schemas.openxmlformats.org/package/2006/content-types><Default Extension=rels ContentType=application/vnd.openxmlformats-package.relationships+xml/><Default Extension=xml ContentType=application/xml/><Override PartName=/word/document.xml ContentType=application/vnd.openxmlformats-officedocument.wordprocessingml.document.main+xml/></Types>
</file>

<file path=_rels/.rels><?xml version=1.0 encoding=UTF-8 standalone=yes?><Relationships xmlns=http://schemas.openxmlformats.org/package/2006/relationships><Relationship Id=rId1 Type=http://schemas.openxmlformats.org/officeDocument/2006/relationships/officeDocument Target=word/document.xml/></Relationships>
</file>

<file path=word/document.xml><?xml version=1.0 encoding=UTF-8 standalone=yes?><w:document xmlns:w=http://schemas.openxmlformats.org/wordprocessingml/2006/main><w:body><w:p><w:r><w:t>Provider shall submit claims within 30 days of service date.</w:t></w:r></w:p><w:p><w:r><w:t>Payment terms are NET 15 and reimbursement rate is .50 per unit.</w:t></w:r></w:p><w:p><w:r><w:t>Hospital must receive remittance advice for each claim and invoice.</w:t></w:r></w:p><w:p><w:r><w:t>Underpayment below contracted amount requires written notice within 10 days.</w:t></w:r></w:p></w:body></w:document>
</file>