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2026-10-30 16:19:07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30" w:name="sec-channel-capacity"/>
    <w:p>
      <w:pPr>
        <w:pStyle w:val="Heading2"/>
      </w:pPr>
      <w:r>
        <w:t xml:space="preserve">2 Capacity</w:t>
      </w:r>
    </w:p>
    <w:bookmarkStart w:id="17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hyperlink r:id="rId16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per channel use.</w:t>
      </w:r>
    </w:p>
    <w:bookmarkEnd w:id="17"/>
    <w:bookmarkStart w:id="19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9"/>
    <w:bookmarkStart w:id="20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20"/>
    <w:bookmarkStart w:id="22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2"/>
    <w:bookmarkStart w:id="23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4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6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6"/>
    <w:bookmarkStart w:id="28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8"/>
    <w:bookmarkStart w:id="29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9"/>
    <w:bookmarkEnd w:id="30"/>
    <w:bookmarkStart w:id="35" w:name="sec-channel-coding-theorem"/>
    <w:p>
      <w:pPr>
        <w:pStyle w:val="Heading2"/>
      </w:pPr>
      <w:r>
        <w:t xml:space="preserve">3 The noisy-channel coding theorem</w:t>
      </w:r>
    </w:p>
    <w:bookmarkStart w:id="31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1"/>
    <w:bookmarkStart w:id="32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2"/>
    <w:bookmarkStart w:id="33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3"/>
    <w:bookmarkStart w:id="34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4"/>
    <w:bookmarkEnd w:id="35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2026-10-30T23:20:37Z</dcterms:created>
  <dcterms:modified xsi:type="dcterms:W3CDTF">2026-10-30T23:20:37Z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16:19:07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