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15:41:37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bit" TargetMode="External"/><Relationship Id="rId25" Type="http://schemas.openxmlformats.org/officeDocument/2006/relationships/hyperlink" Target="entropy.qmd#def-conditional-entropy" TargetMode="External"/><Relationship Id="rId24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7" Type="http://schemas.openxmlformats.org/officeDocument/2006/relationships/hyperlink" Target="entropy.qmd#thm-entropy-chain-rule" TargetMode="External"/><Relationship Id="rId18" Type="http://schemas.openxmlformats.org/officeDocument/2006/relationships/hyperlink" Target="entropy.qmd#thm-mutual-information-symmetric" TargetMode="External"/><Relationship Id="rId36" Type="http://schemas.openxmlformats.org/officeDocument/2006/relationships/hyperlink" Target="https://doi.org/10.1002/047174882X" TargetMode="External"/><Relationship Id="rId39" Type="http://schemas.openxmlformats.org/officeDocument/2006/relationships/hyperlink" Target="https://doi.org/10.1002/j.1538-7305.1948.tb01338.x" TargetMode="External"/><Relationship Id="rId21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2026-10-30T22:44:46Z</dcterms:created>
  <dcterms:modified xsi:type="dcterms:W3CDTF">2026-10-30T22:44:46Z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