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2026-10-30 13:23:53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30" w:name="sec-channel-capacity"/>
    <w:p>
      <w:pPr>
        <w:pStyle w:val="Heading2"/>
      </w:pPr>
      <w:r>
        <w:t xml:space="preserve">2 Capacity</w:t>
      </w:r>
    </w:p>
    <w:bookmarkStart w:id="17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hyperlink r:id="rId16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per channel use.</w:t>
      </w:r>
    </w:p>
    <w:bookmarkEnd w:id="17"/>
    <w:bookmarkStart w:id="19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9"/>
    <w:bookmarkStart w:id="20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20"/>
    <w:bookmarkStart w:id="22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4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6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6"/>
    <w:bookmarkStart w:id="28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8"/>
    <w:bookmarkStart w:id="29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9"/>
    <w:bookmarkEnd w:id="30"/>
    <w:bookmarkStart w:id="35" w:name="sec-channel-coding-theorem"/>
    <w:p>
      <w:pPr>
        <w:pStyle w:val="Heading2"/>
      </w:pPr>
      <w:r>
        <w:t xml:space="preserve">3 The noisy-channel coding theorem</w:t>
      </w:r>
    </w:p>
    <w:bookmarkStart w:id="31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1"/>
    <w:bookmarkStart w:id="32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2"/>
    <w:bookmarkStart w:id="33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3"/>
    <w:bookmarkStart w:id="34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2026-10-30T20:25:59Z</dcterms:created>
  <dcterms:modified xsi:type="dcterms:W3CDTF">2026-10-30T20:25:59Z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13:23:53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