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Demo: Loading Macros via</w:t>
      </w:r>
      <w:r>
        <w:t xml:space="preserve"> </w:t>
      </w:r>
      <w:r>
        <w:rPr>
          <w:rStyle w:val="VerbatimChar"/>
        </w:rPr>
        <w:t xml:space="preserve">include-in-header</w:t>
      </w:r>
    </w:p>
    <w:p>
      <w:pPr>
        <w:pStyle w:val="FirstParagraph"/>
      </w:pPr>
      <w:r>
        <w:t xml:space="preserve">This page demonstrates the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strategy for loading macros. The YAML front matter of this file includes:</w:t>
      </w:r>
    </w:p>
    <w:p>
      <w:pPr>
        <w:pStyle w:val="SourceCode"/>
      </w:pP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html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macros-header.html</w:t>
      </w:r>
      <w:r>
        <w:rPr>
          <w:rStyle w:val="CommentTok"/>
        </w:rPr>
        <w:t xml:space="preserve">   # MathJax macro config script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pdf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macros.qmd</w:t>
      </w:r>
      <w:r>
        <w:rPr>
          <w:rStyle w:val="CommentTok"/>
        </w:rPr>
        <w:t xml:space="preserve">           # raw LaTeX goes directly into preamble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revealjs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output-file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demo-include-in-header-slides.html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scrollable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center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macros-header.html</w:t>
      </w:r>
      <w:r>
        <w:rPr>
          <w:rStyle w:val="CommentTok"/>
        </w:rPr>
        <w:t xml:space="preserve">   # loader that reads macros.qmd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docx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default</w:t>
      </w:r>
    </w:p>
    <w:p>
      <w:pPr>
        <w:pStyle w:val="BlockText"/>
      </w:pPr>
      <w:r>
        <w:rPr>
          <w:b/>
          <w:bCs/>
        </w:rPr>
        <w:t xml:space="preserve">Note (HTML/RevealJS):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is a small loader script (not a second macro-definition file). It reads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, converts macro definitions to a MathJax config object, and sets</w:t>
      </w:r>
      <w:r>
        <w:t xml:space="preserve"> </w:t>
      </w:r>
      <w:r>
        <w:rPr>
          <w:rStyle w:val="VerbatimChar"/>
        </w:rPr>
        <w:t xml:space="preserve">MathJax.tex.macros</w:t>
      </w:r>
      <w:r>
        <w:t xml:space="preserve"> </w:t>
      </w:r>
      <w:r>
        <w:t xml:space="preserve">before typesetting. For RevealJS, it also forces the built-in Reveal math plugin to use MathJax 3. This requires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to be published as a static resource in the site output.</w:t>
      </w:r>
      <w:r>
        <w:t xml:space="preserve"> </w:t>
      </w:r>
      <w:hyperlink r:id="rId9">
        <w:r>
          <w:rPr>
            <w:rStyle w:val="Hyperlink"/>
          </w:rPr>
          <w:t xml:space="preserve">View the RevealJS slides output</w:t>
        </w:r>
      </w:hyperlink>
      <w:r>
        <w:t xml:space="preserve">.</w:t>
      </w:r>
    </w:p>
    <w:p>
      <w:pPr>
        <w:pStyle w:val="BlockText"/>
      </w:pPr>
      <w:r>
        <w:rPr>
          <w:b/>
          <w:bCs/>
        </w:rPr>
        <w:t xml:space="preserve">Note (PDF):</w:t>
      </w:r>
      <w:r>
        <w:t xml:space="preserve"> </w:t>
      </w:r>
      <w:r>
        <w:t xml:space="preserve">For PDF,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can be included directly since its raw LaTeX goes into the document preamble.</w:t>
      </w:r>
    </w:p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This demo uses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because both files are at the root of this repository. When using this repository as a Git submodule (cloned into a</w:t>
      </w:r>
      <w:r>
        <w:t xml:space="preserve"> </w:t>
      </w:r>
      <w:r>
        <w:rPr>
          <w:rStyle w:val="VerbatimChar"/>
        </w:rPr>
        <w:t xml:space="preserve">macros/</w:t>
      </w:r>
      <w:r>
        <w:t xml:space="preserve"> </w:t>
      </w:r>
      <w:r>
        <w:t xml:space="preserve">subdirectory), replace with</w:t>
      </w:r>
      <w:r>
        <w:t xml:space="preserve"> </w:t>
      </w:r>
      <w:r>
        <w:rPr>
          <w:rStyle w:val="VerbatimChar"/>
        </w:rPr>
        <w:t xml:space="preserve">macros/macros-header.html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macros/macros.qmd</w:t>
      </w:r>
      <w:r>
        <w:t xml:space="preserve">.</w:t>
      </w:r>
    </w:p>
    <w:p>
      <w:pPr>
        <w:pStyle w:val="FirstParagraph"/>
      </w:pPr>
      <w:r>
        <w:t xml:space="preserve">The same configuration can be placed in a shared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 </w:t>
      </w:r>
      <w:r>
        <w:t xml:space="preserve">to apply project-wide:</w:t>
      </w:r>
    </w:p>
    <w:p>
      <w:pPr>
        <w:pStyle w:val="SourceCode"/>
      </w:pP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html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macros/macros-header.html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pdf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macros/macros.qmd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revealjs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macros/macros-header.html</w:t>
      </w:r>
    </w:p>
    <w:p>
      <w:pPr>
        <w:pStyle w:val="FirstParagraph"/>
      </w:pPr>
      <w:r>
        <w:t xml:space="preserve">This inserts the macro definitions for each output format: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PDF</w:t>
      </w:r>
      <w:r>
        <w:t xml:space="preserve">: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goes into the LaTeX preamble via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— macros work, including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 </w:t>
      </w:r>
      <w:r>
        <w:t xml:space="preserve">(note that LaTeX’s font-encoding initialization restores</w:t>
      </w:r>
      <w:r>
        <w:t xml:space="preserve"> </w:t>
      </w:r>
      <w:r>
        <w:rPr>
          <w:rStyle w:val="VerbatimChar"/>
        </w:rPr>
        <w:t xml:space="preserve">\v</w:t>
      </w:r>
      <w:r>
        <w:t xml:space="preserve"> </w:t>
      </w:r>
      <w:r>
        <w:t xml:space="preserve">as a text caron accent at</w:t>
      </w:r>
      <w:r>
        <w:t xml:space="preserve"> </w:t>
      </w:r>
      <w:r>
        <w:rPr>
          <w:rStyle w:val="VerbatimChar"/>
        </w:rPr>
        <w:t xml:space="preserve">\begin{document}</w:t>
      </w:r>
      <w:r>
        <w:t xml:space="preserve">, so</w:t>
      </w:r>
      <w:r>
        <w:t xml:space="preserve"> </w:t>
      </w:r>
      <w:r>
        <w:rPr>
          <w:rStyle w:val="VerbatimChar"/>
        </w:rPr>
        <w:t xml:space="preserve">\v{x}</w:t>
      </w:r>
      <w:r>
        <w:t xml:space="preserve"> </w:t>
      </w:r>
      <w:r>
        <w:t xml:space="preserve">produces a text accent error in math mode under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unless re-asserted in the preamble; use</w:t>
      </w:r>
      <w:r>
        <w:t xml:space="preserve"> </w:t>
      </w:r>
      <w:r>
        <w:rPr>
          <w:rStyle w:val="VerbatimChar"/>
        </w:rPr>
        <w:t xml:space="preserve">\vec{x}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\vecf{x}</w:t>
      </w:r>
      <w:r>
        <w:t xml:space="preserve"> </w:t>
      </w:r>
      <w:r>
        <w:t xml:space="preserve">for robust cross-format vector notation).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HTML</w:t>
      </w:r>
      <w:r>
        <w:t xml:space="preserve">: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is inserted via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and loads macros from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into</w:t>
      </w:r>
      <w:r>
        <w:t xml:space="preserve"> </w:t>
      </w:r>
      <w:r>
        <w:rPr>
          <w:rStyle w:val="VerbatimChar"/>
        </w:rPr>
        <w:t xml:space="preserve">MathJax.tex.macros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RevealJS</w:t>
      </w:r>
      <w:r>
        <w:t xml:space="preserve">: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does the same loader step and switches the Reveal math plugin to MathJax 3, so slide math uses the same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source.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docx</w:t>
      </w:r>
      <w:r>
        <w:t xml:space="preserve">: Word documents do not use a LaTeX preamble or MathJax header, so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has no effect on math rendering for docx. The</w:t>
      </w:r>
      <w:r>
        <w:t xml:space="preserve"> </w:t>
      </w:r>
      <w:r>
        <w:rPr>
          <w:rStyle w:val="VerbatimChar"/>
        </w:rPr>
        <w:t xml:space="preserve">docx: default</w:t>
      </w:r>
      <w:r>
        <w:t xml:space="preserve"> </w:t>
      </w:r>
      <w:r>
        <w:t xml:space="preserve">entry above produces docx output without macro support.</w:t>
      </w:r>
    </w:p>
    <w:bookmarkStart w:id="10" w:name="example-math"/>
    <w:p>
      <w:pPr>
        <w:pStyle w:val="Heading2"/>
      </w:pPr>
      <w:r>
        <w:t xml:space="preserve">Example math</w:t>
      </w:r>
    </w:p>
    <w:p>
      <w:pPr>
        <w:pStyle w:val="FirstParagraph"/>
      </w:pPr>
      <w:r>
        <w:t xml:space="preserve">The table below uses macros defined with</w:t>
      </w:r>
      <w:r>
        <w:t xml:space="preserve"> </w:t>
      </w:r>
      <w:r>
        <w:rPr>
          <w:rStyle w:val="VerbatimChar"/>
        </w:rPr>
        <w:t xml:space="preserve">\def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, which work in all output formats that support MathJax or LaTeX: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alpha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\a</w:t>
            </w:r>
          </w:p>
        </w:tc>
        <w:tc>
          <w:tcPr/>
          <w:p>
            <w:pPr>
              <w:pStyle w:val="Compact"/>
            </w:pPr>
            <m:oMath>
              <m:r>
                <m:t>α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\b</w:t>
            </w:r>
          </w:p>
        </w:tc>
        <w:tc>
          <w:tcPr/>
          <w:p>
            <w:pPr>
              <w:pStyle w:val="Compact"/>
            </w:pPr>
            <m:oMath>
              <m:r>
                <m:t>β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gamma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\g</w:t>
            </w:r>
          </w:p>
        </w:tc>
        <w:tc>
          <w:tcPr/>
          <w:p>
            <w:pPr>
              <w:pStyle w:val="Compact"/>
            </w:pPr>
            <m:oMath>
              <m:r>
                <m:t>γ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lambda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\l</w:t>
            </w:r>
          </w:p>
        </w:tc>
        <w:tc>
          <w:tcPr/>
          <w:p>
            <w:pPr>
              <w:pStyle w:val="Compact"/>
            </w:pPr>
            <m:oMath>
              <m:r>
                <m:t>λ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sigma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\s</w:t>
            </w:r>
          </w:p>
        </w:tc>
        <w:tc>
          <w:tcPr/>
          <w:p>
            <w:pPr>
              <w:pStyle w:val="Compact"/>
            </w:pPr>
            <m:oMath>
              <m:r>
                <m:t>σ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Log-likelihood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\llik</w:t>
            </w:r>
          </w:p>
        </w:tc>
        <w:tc>
          <w:tcPr/>
          <w:p>
            <w:pPr>
              <w:pStyle w:val="Compact"/>
            </w:pPr>
            <m:oMath>
              <m:r>
                <m:t>ℓ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Independent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 \ind Y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IID distributed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X_i \siid \Normal(\m, \ss)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iid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Vector: mu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\vm</w:t>
            </w:r>
          </w:p>
        </w:tc>
        <w:tc>
          <w:tcPr/>
          <w:p>
            <w:pPr>
              <w:pStyle w:val="Compact"/>
            </w:pPr>
            <w:r>
              <w:t xml:space="preserve">$\mathord{\smash[b]{\underset{\raise.3ex\hbox{$\scriptstyle\sim$}}{\mu}}\vphantom{\mu}}$</w:t>
            </w:r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Hat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\hb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\salg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S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Borel 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\borel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B</m:t>
              </m:r>
            </m:oMath>
            <w:r>
              <w:t xml:space="preserve">​</w:t>
            </w:r>
          </w:p>
        </w:tc>
      </w:tr>
    </w:tbl>
    <w:bookmarkEnd w:id="10"/>
    <w:bookmarkStart w:id="13" w:name="color-macros"/>
    <w:p>
      <w:pPr>
        <w:pStyle w:val="Heading2"/>
      </w:pPr>
      <w:r>
        <w:t xml:space="preserve">Color macros</w:t>
      </w:r>
    </w:p>
    <w:p>
      <w:pPr>
        <w:pStyle w:val="FirstParagraph"/>
      </w:pPr>
      <w:r>
        <w:rPr>
          <w:rStyle w:val="VerbatimChar"/>
        </w:rPr>
        <w:t xml:space="preserve">macros.qmd</w:t>
      </w:r>
      <w:r>
        <w:t xml:space="preserve"> </w:t>
      </w:r>
      <w:r>
        <w:t xml:space="preserve">defines a one-argument macro for each of the 19</w:t>
      </w:r>
      <w:r>
        <w:t xml:space="preserve"> </w:t>
      </w:r>
      <w:hyperlink r:id="rId11">
        <w:r>
          <w:rPr>
            <w:rStyle w:val="Hyperlink"/>
          </w:rPr>
          <w:t xml:space="preserve">LaTeX base colors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\red</w:t>
      </w:r>
      <w:r>
        <w:t xml:space="preserve">,</w:t>
      </w:r>
      <w:r>
        <w:t xml:space="preserve"> </w:t>
      </w:r>
      <w:r>
        <w:rPr>
          <w:rStyle w:val="VerbatimChar"/>
        </w:rPr>
        <w:t xml:space="preserve">\blue</w:t>
      </w:r>
      <w:r>
        <w:t xml:space="preserve">,</w:t>
      </w:r>
      <w:r>
        <w:t xml:space="preserve"> </w:t>
      </w:r>
      <w:r>
        <w:rPr>
          <w:rStyle w:val="VerbatimChar"/>
        </w:rPr>
        <w:t xml:space="preserve">\green</w:t>
      </w:r>
      <w:r>
        <w:t xml:space="preserve">,</w:t>
      </w:r>
      <w:r>
        <w:t xml:space="preserve"> </w:t>
      </w:r>
      <w:r>
        <w:rPr>
          <w:rStyle w:val="VerbatimChar"/>
        </w:rPr>
        <w:t xml:space="preserve">\orange</w:t>
      </w:r>
      <w:r>
        <w:t xml:space="preserve">, …), using the</w:t>
      </w:r>
      <w:r>
        <w:t xml:space="preserve"> </w:t>
      </w:r>
      <w:r>
        <w:rPr>
          <w:rStyle w:val="VerbatimChar"/>
        </w:rPr>
        <w:t xml:space="preserve">\color</w:t>
      </w:r>
      <w:r>
        <w:t xml:space="preserve"> </w:t>
      </w:r>
      <w:r>
        <w:t xml:space="preserve">switch form (</w:t>
      </w:r>
      <w:r>
        <w:rPr>
          <w:rStyle w:val="VerbatimChar"/>
        </w:rPr>
        <w:t xml:space="preserve">{\color{red}{#1}}</w:t>
      </w:r>
      <w:r>
        <w:t xml:space="preserve">), which is supported by MathJax (HTML/RevealJS) and lualatex (PDF):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\red{x}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\blue{y}</w:t>
            </w:r>
          </w:p>
        </w:tc>
        <w:tc>
          <w:tcPr/>
          <w:p>
            <w:pPr>
              <w:pStyle w:val="Compact"/>
            </w:pPr>
            <m:oMath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\green{z}</w:t>
            </w:r>
          </w:p>
        </w:tc>
        <w:tc>
          <w:tcPr/>
          <w:p>
            <w:pPr>
              <w:pStyle w:val="Compact"/>
            </w:pPr>
            <m:oMath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Orange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\orange{\mu}</w:t>
            </w:r>
          </w:p>
        </w:tc>
        <w:tc>
          <w:tcPr/>
          <w:p>
            <w:pPr>
              <w:pStyle w:val="Compact"/>
            </w:pPr>
            <m:oMath>
              <m:r>
                <m:t>μ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Combined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\red{x} + \blue{y} = \green{z}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Nested macros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X_i \sim_{\red{\ind}} \blue{\Normal}(\orange{\mu_i}, \green{\ss})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pStyle w:val="BlockText"/>
      </w:pPr>
      <w:r>
        <w:rPr>
          <w:b/>
          <w:bCs/>
        </w:rPr>
        <w:t xml:space="preserve">Note (docx):</w:t>
      </w:r>
      <w:r>
        <w:t xml:space="preserve"> </w:t>
      </w:r>
      <w:r>
        <w:t xml:space="preserve">as described above, the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strategy does not load macros for docx output, so the color macros (like all other macros) are unavailable there. For docx, use the</w:t>
      </w:r>
      <w:r>
        <w:t xml:space="preserve"> </w:t>
      </w:r>
      <w:hyperlink r:id="rId12">
        <w:r>
          <w:rPr>
            <w:rStyle w:val="Hyperlink"/>
          </w:rPr>
          <w:t xml:space="preserve">include shortcode strategy</w:t>
        </w:r>
      </w:hyperlink>
      <w:r>
        <w:t xml:space="preserve"> </w:t>
      </w:r>
      <w:r>
        <w:t xml:space="preserve">instead.</w:t>
      </w:r>
    </w:p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demo-include-in-header-slides.html" TargetMode="External" /><Relationship Type="http://schemas.openxmlformats.org/officeDocument/2006/relationships/hyperlink" Id="rId12" Target="demo-shortcode.qmd" TargetMode="External" /><Relationship Type="http://schemas.openxmlformats.org/officeDocument/2006/relationships/hyperlink" Id="rId11" Target="https://en.wikibooks.org/wiki/LaTeX/Colors#Predefined_color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demo-include-in-header-slides.html" TargetMode="External" /><Relationship Type="http://schemas.openxmlformats.org/officeDocument/2006/relationships/hyperlink" Id="rId12" Target="demo-shortcode.qmd" TargetMode="External" /><Relationship Type="http://schemas.openxmlformats.org/officeDocument/2006/relationships/hyperlink" Id="rId11" Target="https://en.wikibooks.org/wiki/LaTeX/Colors#Predefined_color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Demo: Loading Macros via include-in-header</dc:title>
  <dc:creator/>
  <cp:keywords/>
  <dcterms:created xsi:type="dcterms:W3CDTF">2026-10-17T09:41:21Z</dcterms:created>
  <dcterms:modified xsi:type="dcterms:W3CDTF">2026-10-17T09:41:21Z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</Properties>
</file>