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(note that LaTeX’s font-encoding initialization restores</w:t>
      </w:r>
      <w:r>
        <w:t xml:space="preserve"> </w:t>
      </w:r>
      <w:r>
        <w:rPr>
          <w:rStyle w:val="VerbatimChar"/>
        </w:rPr>
        <w:t xml:space="preserve">\v</w:t>
      </w:r>
      <w:r>
        <w:t xml:space="preserve"> </w:t>
      </w:r>
      <w:r>
        <w:t xml:space="preserve">as a text caron accent at</w:t>
      </w:r>
      <w:r>
        <w:t xml:space="preserve"> </w:t>
      </w:r>
      <w:r>
        <w:rPr>
          <w:rStyle w:val="VerbatimChar"/>
        </w:rPr>
        <w:t xml:space="preserve">\begin{document}</w:t>
      </w:r>
      <w:r>
        <w:t xml:space="preserve">, so</w:t>
      </w:r>
      <w:r>
        <w:t xml:space="preserve"> </w:t>
      </w:r>
      <w:r>
        <w:rPr>
          <w:rStyle w:val="VerbatimChar"/>
        </w:rPr>
        <w:t xml:space="preserve">\v{x}</w:t>
      </w:r>
      <w:r>
        <w:t xml:space="preserve"> </w:t>
      </w:r>
      <w:r>
        <w:t xml:space="preserve">produces a text accent error in math mode under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unless re-asserted in the preamble; use</w:t>
      </w:r>
      <w:r>
        <w:t xml:space="preserve"> </w:t>
      </w:r>
      <w:r>
        <w:rPr>
          <w:rStyle w:val="VerbatimChar"/>
        </w:rPr>
        <w:t xml:space="preserve">\vec{x}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\vecf{x}</w:t>
      </w:r>
      <w:r>
        <w:t xml:space="preserve"> </w:t>
      </w:r>
      <w:r>
        <w:t xml:space="preserve">for robust cross-format vector notation).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\salg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\borel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2026-10-22T22:09:13Z</dcterms:created>
  <dcterms:modified xsi:type="dcterms:W3CDTF">2026-10-22T22:09:13Z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