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2026-10-05 23:38:06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41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6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4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FirstParagraph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7"/>
    <w:bookmarkStart w:id="18" w:name="exm-interval"/>
    <w:p>
      <w:pPr>
        <w:pStyle w:val="BodyText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def-subset"/>
    <w:p>
      <w:pPr>
        <w:pStyle w:val="FirstParagraph"/>
      </w:pPr>
      <w:r>
        <w:rPr>
          <w:b/>
          <w:bCs/>
        </w:rPr>
        <w:t xml:space="preserve">Definition 4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0"/>
    <w:bookmarkStart w:id="21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2" w:name="def-strict-subset"/>
    <w:p>
      <w:pPr>
        <w:pStyle w:val="BodyText"/>
      </w:pPr>
      <w:r>
        <w:rPr>
          <w:b/>
          <w:bCs/>
        </w:rPr>
        <w:t xml:space="preserve">Definition 5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2"/>
    <w:bookmarkStart w:id="24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4"/>
    <w:bookmarkStart w:id="25" w:name="def-superset"/>
    <w:p>
      <w:pPr>
        <w:pStyle w:val="BodyText"/>
      </w:pPr>
      <w:r>
        <w:rPr>
          <w:b/>
          <w:bCs/>
        </w:rPr>
        <w:t xml:space="preserve">Definition 6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strict-superset"/>
    <w:p>
      <w:pPr>
        <w:pStyle w:val="BodyText"/>
      </w:pPr>
      <w:r>
        <w:rPr>
          <w:b/>
          <w:bCs/>
        </w:rPr>
        <w:t xml:space="preserve">Definition 7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7"/>
    <w:bookmarkStart w:id="28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8"/>
    <w:bookmarkStart w:id="29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9"/>
    <w:bookmarkStart w:id="30" w:name="def-empty-set"/>
    <w:p>
      <w:pPr>
        <w:pStyle w:val="FirstParagraph"/>
      </w:pPr>
      <w:r>
        <w:rPr>
          <w:b/>
          <w:bCs/>
        </w:rPr>
        <w:t xml:space="preserve">Definition 8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0"/>
    <w:bookmarkStart w:id="33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2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3"/>
    <w:bookmarkStart w:id="34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4"/>
    <w:bookmarkStart w:id="35" w:name="def-vacuous-truth"/>
    <w:p>
      <w:pPr>
        <w:pStyle w:val="BodyText"/>
      </w:pPr>
      <w:r>
        <w:rPr>
          <w:b/>
          <w:bCs/>
        </w:rPr>
        <w:t xml:space="preserve">Definition 9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5"/>
    <w:bookmarkStart w:id="36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6"/>
    <w:bookmarkStart w:id="37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8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9" w:name="def-collection"/>
    <w:p>
      <w:pPr>
        <w:pStyle w:val="BodyText"/>
      </w:pPr>
      <w:r>
        <w:rPr>
          <w:b/>
          <w:bCs/>
        </w:rPr>
        <w:t xml:space="preserve">Definition 10 (Collection of sets)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39"/>
    <w:bookmarkStart w:id="40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0"/>
    <w:bookmarkEnd w:id="41"/>
    <w:bookmarkStart w:id="54" w:name="combining-sets"/>
    <w:p>
      <w:pPr>
        <w:pStyle w:val="Heading2"/>
      </w:pPr>
      <w:r>
        <w:t xml:space="preserve">2 Combining sets</w:t>
      </w:r>
    </w:p>
    <w:bookmarkStart w:id="42" w:name="def-union"/>
    <w:p>
      <w:pPr>
        <w:pStyle w:val="FirstParagraph"/>
      </w:pPr>
      <w:r>
        <w:rPr>
          <w:b/>
          <w:bCs/>
        </w:rPr>
        <w:t xml:space="preserve">Definition 11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2"/>
    <w:bookmarkStart w:id="43" w:name="def-intersection"/>
    <w:p>
      <w:pPr>
        <w:pStyle w:val="BodyText"/>
      </w:pPr>
      <w:r>
        <w:rPr>
          <w:b/>
          <w:bCs/>
        </w:rPr>
        <w:t xml:space="preserve">Definition 12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intersection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3"/>
    <w:bookmarkStart w:id="44" w:name="def-set-difference"/>
    <w:p>
      <w:pPr>
        <w:pStyle w:val="BodyText"/>
      </w:pPr>
      <w:r>
        <w:rPr>
          <w:b/>
          <w:bCs/>
        </w:rPr>
        <w:t xml:space="preserve">Definition 13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44"/>
    <w:bookmarkStart w:id="45" w:name="def-complement"/>
    <w:p>
      <w:pPr>
        <w:pStyle w:val="FirstParagraph"/>
      </w:pPr>
      <w:r>
        <w:rPr>
          <w:b/>
          <w:bCs/>
        </w:rPr>
        <w:t xml:space="preserve">Definition 14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45"/>
    <w:bookmarkStart w:id="46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5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5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6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47"/>
    <w:bookmarkStart w:id="48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48"/>
    <w:bookmarkStart w:id="49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0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∪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∩</m:t>
        </m:r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∪</m:t>
        </m:r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51"/>
    <w:bookmarkStart w:id="52" w:name="def-cartesian-product"/>
    <w:p>
      <w:pPr>
        <w:pStyle w:val="FirstParagraph"/>
      </w:pPr>
      <w:r>
        <w:rPr>
          <w:b/>
          <w:bCs/>
        </w:rPr>
        <w:t xml:space="preserve">Definition 15 (Ordered pair and Cartesian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2"/>
    <w:bookmarkStart w:id="53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53"/>
    <w:bookmarkEnd w:id="54"/>
    <w:bookmarkStart w:id="75" w:name="functions"/>
    <w:p>
      <w:pPr>
        <w:pStyle w:val="Heading2"/>
      </w:pPr>
      <w:r>
        <w:t xml:space="preserve">3 Functions</w:t>
      </w:r>
    </w:p>
    <w:bookmarkStart w:id="55" w:name="def-function"/>
    <w:p>
      <w:pPr>
        <w:pStyle w:val="FirstParagraph"/>
      </w:pPr>
      <w:r>
        <w:rPr>
          <w:b/>
          <w:bCs/>
        </w:rPr>
        <w:t xml:space="preserve">Definition 16 (Function)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,</w:t>
      </w:r>
      <w:r>
        <w:t xml:space="preserve"> </w:t>
      </w:r>
      <w:r>
        <w:t xml:space="preserve">called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55"/>
    <w:bookmarkStart w:id="56" w:name="exm-function"/>
    <w:p>
      <w:pPr>
        <w:pStyle w:val="BodyText"/>
      </w:pPr>
      <w:r>
        <w:rPr>
          <w:b/>
          <w:bCs/>
        </w:rPr>
        <w:t xml:space="preserve">Example 14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56"/>
    <w:bookmarkStart w:id="57" w:name="def-relation"/>
    <w:p>
      <w:pPr>
        <w:pStyle w:val="BodyText"/>
      </w:pPr>
      <w:r>
        <w:rPr>
          <w:b/>
          <w:bCs/>
        </w:rPr>
        <w:t xml:space="preserve">Definition 17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57"/>
    <w:bookmarkStart w:id="58" w:name="exm-relation"/>
    <w:p>
      <w:pPr>
        <w:pStyle w:val="BodyText"/>
      </w:pPr>
      <w:r>
        <w:rPr>
          <w:b/>
          <w:bCs/>
        </w:rPr>
        <w:t xml:space="preserve">Example 15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58"/>
    <w:bookmarkStart w:id="59" w:name="def-domain"/>
    <w:p>
      <w:pPr>
        <w:pStyle w:val="BodyText"/>
      </w:pPr>
      <w:r>
        <w:rPr>
          <w:b/>
          <w:bCs/>
        </w:rPr>
        <w:t xml:space="preserve">Definition 18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59"/>
    <w:bookmarkStart w:id="60" w:name="def-codomain"/>
    <w:p>
      <w:pPr>
        <w:pStyle w:val="BodyText"/>
      </w:pPr>
      <w:r>
        <w:rPr>
          <w:b/>
          <w:bCs/>
        </w:rPr>
        <w:t xml:space="preserve">Definition 19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60"/>
    <w:bookmarkStart w:id="61" w:name="def-image"/>
    <w:p>
      <w:pPr>
        <w:pStyle w:val="BodyText"/>
      </w:pPr>
      <w:r>
        <w:rPr>
          <w:b/>
          <w:bCs/>
        </w:rPr>
        <w:t xml:space="preserve">Definition 20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61"/>
    <w:bookmarkStart w:id="63" w:name="rem-image-range"/>
    <w:p>
      <w:pPr>
        <w:pStyle w:val="BodyText"/>
      </w:pPr>
      <w:r>
        <w:rPr>
          <w:i/>
          <w:iCs/>
        </w:rPr>
        <w:t xml:space="preserve">Remark 6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62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63"/>
    <w:bookmarkStart w:id="64" w:name="exm-domain-codomain-image"/>
    <w:p>
      <w:pPr>
        <w:pStyle w:val="BodyText"/>
      </w:pPr>
      <w:r>
        <w:rPr>
          <w:b/>
          <w:bCs/>
        </w:rPr>
        <w:t xml:space="preserve">Example 16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64"/>
    <w:bookmarkStart w:id="65" w:name="def-graph"/>
    <w:p>
      <w:pPr>
        <w:pStyle w:val="BodyText"/>
      </w:pPr>
      <w:r>
        <w:rPr>
          <w:b/>
          <w:bCs/>
        </w:rPr>
        <w:t xml:space="preserve">Definition 21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65"/>
    <w:bookmarkStart w:id="66" w:name="exm-graph"/>
    <w:p>
      <w:pPr>
        <w:pStyle w:val="BodyText"/>
      </w:pPr>
      <w:r>
        <w:rPr>
          <w:b/>
          <w:bCs/>
        </w:rPr>
        <w:t xml:space="preserve">Example 17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66"/>
    <w:bookmarkStart w:id="67" w:name="def-composition"/>
    <w:p>
      <w:pPr>
        <w:pStyle w:val="BodyText"/>
      </w:pPr>
      <w:r>
        <w:rPr>
          <w:b/>
          <w:bCs/>
        </w:rPr>
        <w:t xml:space="preserve">Definition 22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67"/>
    <w:bookmarkStart w:id="68" w:name="exm-composition"/>
    <w:p>
      <w:pPr>
        <w:pStyle w:val="BodyText"/>
      </w:pPr>
      <w:r>
        <w:rPr>
          <w:b/>
          <w:bCs/>
        </w:rPr>
        <w:t xml:space="preserve">Example 18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t>g</m:t>
        </m:r>
        <m:r>
          <m:rPr>
            <m:sty m:val="p"/>
          </m:rPr>
          <m:t>∘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68"/>
    <w:bookmarkStart w:id="69" w:name="def-inverse-function"/>
    <w:p>
      <w:pPr>
        <w:pStyle w:val="BodyText"/>
      </w:pPr>
      <w:r>
        <w:rPr>
          <w:b/>
          <w:bCs/>
        </w:rPr>
        <w:t xml:space="preserve">Definition 23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12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69"/>
    <w:bookmarkStart w:id="70" w:name="rem-inverse-not-reciprocal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70"/>
    <w:bookmarkStart w:id="71" w:name="exm-inverse-function"/>
    <w:p>
      <w:pPr>
        <w:pStyle w:val="BodyText"/>
      </w:pPr>
      <w:r>
        <w:rPr>
          <w:b/>
          <w:bCs/>
        </w:rPr>
        <w:t xml:space="preserve">Example 19 (An invertible function,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71"/>
    <w:bookmarkStart w:id="73" w:name="def-sequence"/>
    <w:p>
      <w:pPr>
        <w:pStyle w:val="FirstParagraph"/>
      </w:pPr>
      <w:r>
        <w:rPr>
          <w:b/>
          <w:bCs/>
        </w:rPr>
        <w:t xml:space="preserve">Definition 24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7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73"/>
    <w:bookmarkStart w:id="74" w:name="exm-sequence"/>
    <w:p>
      <w:pPr>
        <w:pStyle w:val="BodyText"/>
      </w:pPr>
      <w:r>
        <w:rPr>
          <w:b/>
          <w:bCs/>
        </w:rPr>
        <w:t xml:space="preserve">Example 20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4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74"/>
    <w:bookmarkEnd w:id="75"/>
    <w:bookmarkStart w:id="90" w:name="countable-sets"/>
    <w:p>
      <w:pPr>
        <w:pStyle w:val="Heading2"/>
      </w:pPr>
      <w:r>
        <w:t xml:space="preserve">4 Countable sets</w:t>
      </w:r>
    </w:p>
    <w:bookmarkStart w:id="76" w:name="def-finite-set"/>
    <w:p>
      <w:pPr>
        <w:pStyle w:val="FirstParagraph"/>
      </w:pPr>
      <w:r>
        <w:rPr>
          <w:b/>
          <w:bCs/>
        </w:rPr>
        <w:t xml:space="preserve">Definition 25 (Finite set, infinite set, and cardinality)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sequence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  <w:r>
        <w:t xml:space="preserve"> </w:t>
      </w:r>
      <w:r>
        <w:t xml:space="preserve">That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A set that is not finite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76"/>
    <w:bookmarkStart w:id="79" w:name="rem-cardinality-bars"/>
    <w:p>
      <w:pPr>
        <w:pStyle w:val="BodyText"/>
      </w:pPr>
      <w:r>
        <w:rPr>
          <w:i/>
          <w:iCs/>
        </w:rPr>
        <w:t xml:space="preserve">Remark 8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77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78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79"/>
    <w:bookmarkStart w:id="80" w:name="exm-finite-set"/>
    <w:p>
      <w:pPr>
        <w:pStyle w:val="BodyText"/>
      </w:pPr>
      <w:r>
        <w:rPr>
          <w:b/>
          <w:bCs/>
        </w:rPr>
        <w:t xml:space="preserve">Example 21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80"/>
    <w:bookmarkStart w:id="81" w:name="def-countable-set"/>
    <w:p>
      <w:pPr>
        <w:pStyle w:val="FirstParagraph"/>
      </w:pPr>
      <w:r>
        <w:rPr>
          <w:b/>
          <w:bCs/>
        </w:rPr>
        <w:t xml:space="preserve">Definition 26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81"/>
    <w:bookmarkStart w:id="82" w:name="def-countably-infinite"/>
    <w:p>
      <w:pPr>
        <w:pStyle w:val="BodyText"/>
      </w:pPr>
      <w:r>
        <w:rPr>
          <w:b/>
          <w:bCs/>
        </w:rPr>
        <w:t xml:space="preserve">Definition 27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82"/>
    <w:bookmarkStart w:id="85" w:name="exm-countable-set"/>
    <w:p>
      <w:pPr>
        <w:pStyle w:val="BodyText"/>
      </w:pPr>
      <w:r>
        <w:rPr>
          <w:b/>
          <w:bCs/>
        </w:rPr>
        <w:t xml:space="preserve">Example 22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6"/>
        </w:numPr>
      </w:pPr>
      <w:r>
        <w:t xml:space="preserve">The</w:t>
      </w:r>
      <w:r>
        <w:t xml:space="preserve"> </w:t>
      </w:r>
      <w:hyperlink r:id="rId83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6"/>
        </w:numPr>
      </w:pPr>
      <w:r>
        <w:t xml:space="preserve">The</w:t>
      </w:r>
      <w:r>
        <w:t xml:space="preserve"> </w:t>
      </w:r>
      <w:hyperlink r:id="rId84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85"/>
    <w:bookmarkStart w:id="86" w:name="thm-interval-uncountable"/>
    <w:p>
      <w:pPr>
        <w:pStyle w:val="FirstParagraph"/>
      </w:pPr>
      <w:r>
        <w:rPr>
          <w:b/>
          <w:bCs/>
        </w:rPr>
        <w:t xml:space="preserve">Theorem 5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86"/>
    <w:bookmarkStart w:id="89" w:name="rem-cantor-diagonal"/>
    <w:p>
      <w:pPr>
        <w:pStyle w:val="BodyText"/>
      </w:pPr>
      <w:r>
        <w:rPr>
          <w:i/>
          <w:iCs/>
        </w:rPr>
        <w:t xml:space="preserve">Remark 9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8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5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88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89"/>
    <w:bookmarkEnd w:id="90"/>
    <w:bookmarkStart w:id="95" w:name="extended-non-negative-real-numbers"/>
    <w:p>
      <w:pPr>
        <w:pStyle w:val="Heading2"/>
      </w:pPr>
      <w:r>
        <w:t xml:space="preserve">5 Extended non-negative real numbers</w:t>
      </w:r>
    </w:p>
    <w:bookmarkStart w:id="91" w:name="def-extended-nonneg-reals"/>
    <w:p>
      <w:pPr>
        <w:pStyle w:val="FirstParagraph"/>
      </w:pPr>
      <w:r>
        <w:rPr>
          <w:b/>
          <w:bCs/>
        </w:rPr>
        <w:t xml:space="preserve">Definition 28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91"/>
    <w:bookmarkStart w:id="93" w:name="rem-infinity-arithmetic"/>
    <w:p>
      <w:pPr>
        <w:pStyle w:val="BodyText"/>
      </w:pPr>
      <w:r>
        <w:rPr>
          <w:i/>
          <w:iCs/>
        </w:rPr>
        <w:t xml:space="preserve">Remark 10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92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93"/>
    <w:bookmarkStart w:id="94" w:name="exm-extended-nonneg-reals"/>
    <w:p>
      <w:pPr>
        <w:pStyle w:val="BodyText"/>
      </w:pPr>
      <w:r>
        <w:rPr>
          <w:b/>
          <w:bCs/>
        </w:rPr>
        <w:t xml:space="preserve">Example 23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94"/>
    <w:bookmarkEnd w:id="95"/>
    <w:bookmarkStart w:id="96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17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17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17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17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96"/>
    <w:bookmarkStart w:id="106" w:name="references"/>
    <w:p>
      <w:pPr>
        <w:pStyle w:val="Heading2"/>
      </w:pPr>
      <w:r>
        <w:t xml:space="preserve">References</w:t>
      </w:r>
    </w:p>
    <w:bookmarkStart w:id="105" w:name="refs"/>
    <w:bookmarkStart w:id="98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97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98"/>
    <w:bookmarkStart w:id="100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99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100"/>
    <w:bookmarkStart w:id="102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101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102"/>
    <w:bookmarkStart w:id="104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03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04"/>
    <w:bookmarkEnd w:id="105"/>
    <w:bookmarkEnd w:id="1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77" Target="algebra.qmd#def-absolute-value" TargetMode="External" /><Relationship Type="http://schemas.openxmlformats.org/officeDocument/2006/relationships/hyperlink" Id="rId78" Target="algebra.qmd#def-complex-modulus" TargetMode="External" /><Relationship Type="http://schemas.openxmlformats.org/officeDocument/2006/relationships/hyperlink" Id="rId99" Target="https://doi.org/10.1007/978-1-4612-0903-4" TargetMode="External" /><Relationship Type="http://schemas.openxmlformats.org/officeDocument/2006/relationships/hyperlink" Id="rId103" Target="https://doi.org/10.1007/978-1-4757-1645-0" TargetMode="External" /><Relationship Type="http://schemas.openxmlformats.org/officeDocument/2006/relationships/hyperlink" Id="rId101" Target="https://doi.org/10.1016/C2009-0-22107-6" TargetMode="External" /><Relationship Type="http://schemas.openxmlformats.org/officeDocument/2006/relationships/hyperlink" Id="rId88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92" Target="https://en.wikipedia.org/wiki/Extended_real_number_line" TargetMode="External" /><Relationship Type="http://schemas.openxmlformats.org/officeDocument/2006/relationships/hyperlink" Id="rId62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97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84" Target="notation.qmd#def-integers" TargetMode="External" /><Relationship Type="http://schemas.openxmlformats.org/officeDocument/2006/relationships/hyperlink" Id="rId72" Target="notation.qmd#def-natural-numbers" TargetMode="External" /><Relationship Type="http://schemas.openxmlformats.org/officeDocument/2006/relationships/hyperlink" Id="rId50" Target="notation.qmd#def-necessary-sufficient" TargetMode="External" /><Relationship Type="http://schemas.openxmlformats.org/officeDocument/2006/relationships/hyperlink" Id="rId83" Target="notation.qmd#def-nonnegative-integers" TargetMode="External" /><Relationship Type="http://schemas.openxmlformats.org/officeDocument/2006/relationships/hyperlink" Id="rId87" Target="notation.qmd#def-proof" TargetMode="External" /><Relationship Type="http://schemas.openxmlformats.org/officeDocument/2006/relationships/hyperlink" Id="rId15" Target="notation.qmd#def-re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7" Target="algebra.qmd#def-absolute-value" TargetMode="External" /><Relationship Type="http://schemas.openxmlformats.org/officeDocument/2006/relationships/hyperlink" Id="rId78" Target="algebra.qmd#def-complex-modulus" TargetMode="External" /><Relationship Type="http://schemas.openxmlformats.org/officeDocument/2006/relationships/hyperlink" Id="rId99" Target="https://doi.org/10.1007/978-1-4612-0903-4" TargetMode="External" /><Relationship Type="http://schemas.openxmlformats.org/officeDocument/2006/relationships/hyperlink" Id="rId103" Target="https://doi.org/10.1007/978-1-4757-1645-0" TargetMode="External" /><Relationship Type="http://schemas.openxmlformats.org/officeDocument/2006/relationships/hyperlink" Id="rId101" Target="https://doi.org/10.1016/C2009-0-22107-6" TargetMode="External" /><Relationship Type="http://schemas.openxmlformats.org/officeDocument/2006/relationships/hyperlink" Id="rId88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92" Target="https://en.wikipedia.org/wiki/Extended_real_number_line" TargetMode="External" /><Relationship Type="http://schemas.openxmlformats.org/officeDocument/2006/relationships/hyperlink" Id="rId62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97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84" Target="notation.qmd#def-integers" TargetMode="External" /><Relationship Type="http://schemas.openxmlformats.org/officeDocument/2006/relationships/hyperlink" Id="rId72" Target="notation.qmd#def-natural-numbers" TargetMode="External" /><Relationship Type="http://schemas.openxmlformats.org/officeDocument/2006/relationships/hyperlink" Id="rId50" Target="notation.qmd#def-necessary-sufficient" TargetMode="External" /><Relationship Type="http://schemas.openxmlformats.org/officeDocument/2006/relationships/hyperlink" Id="rId83" Target="notation.qmd#def-nonnegative-integers" TargetMode="External" /><Relationship Type="http://schemas.openxmlformats.org/officeDocument/2006/relationships/hyperlink" Id="rId87" Target="notation.qmd#def-proof" TargetMode="External" /><Relationship Type="http://schemas.openxmlformats.org/officeDocument/2006/relationships/hyperlink" Id="rId15" Target="notation.qmd#def-re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2026-10-06T06:49:09Z</dcterms:created>
  <dcterms:modified xsi:type="dcterms:W3CDTF">2026-10-06T06:49:09Z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23:38:06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