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2026-10-13 19:28:53 (PDT)</w:t>
      </w:r>
    </w:p>
    <w:bookmarkStart w:id="83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two versions: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 (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) is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1"/>
    <w:bookmarkStart w:id="52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2"/>
    <w:bookmarkStart w:id="53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3"/>
    <w:bookmarkStart w:id="54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4"/>
    <w:bookmarkStart w:id="55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5"/>
    <w:bookmarkStart w:id="56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6"/>
    <w:bookmarkStart w:id="64" w:name="thm-fubini-tonelli"/>
    <w:p>
      <w:pPr>
        <w:pStyle w:val="BodyText"/>
      </w:pPr>
      <w:r>
        <w:rPr>
          <w:b/>
          <w:bCs/>
        </w:rPr>
        <w:t xml:space="preserve">Theorem 2 (Fubini–Tonelli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7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58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59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0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1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r>
        <w:rPr>
          <w:b/>
          <w:bCs/>
        </w:rPr>
        <w:t xml:space="preserve">Tonelli’s theorem</w:t>
      </w:r>
      <w:r>
        <w:t xml:space="preserve">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2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w:r>
        <w:rPr>
          <w:b/>
          <w:bCs/>
        </w:rPr>
        <w:t xml:space="preserve">Fubini’s theorem</w:t>
      </w:r>
      <w:r>
        <w:t xml:space="preserve">),</w:t>
      </w:r>
    </w:p>
    <w:p>
      <w:pPr>
        <w:pStyle w:val="FirstParagraph"/>
      </w:pPr>
      <w:r>
        <w:t xml:space="preserve">then both iterated</w:t>
      </w:r>
      <w:r>
        <w:t xml:space="preserve"> </w:t>
      </w:r>
      <w:hyperlink r:id="rId63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 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4"/>
    <w:bookmarkStart w:id="68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2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67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68"/>
    <w:bookmarkStart w:id="70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69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condition (a) (Tonelli’s theorem, nonnegativity)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guarantees when condition (a) holds.</w:t>
      </w:r>
    </w:p>
    <w:bookmarkEnd w:id="70"/>
    <w:bookmarkStart w:id="71" w:name="exm-fubini-fail-tonelli"/>
    <w:p>
      <w:pPr>
        <w:pStyle w:val="BodyText"/>
      </w:pPr>
      <w:r>
        <w:rPr>
          <w:b/>
          <w:bCs/>
        </w:rPr>
        <w:t xml:space="preserve">Example 7 (When neither Fubini–Tonelli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condition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-tonelli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’s conditions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condition (b).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condition (b) of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(Condition (a) 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 and negative values,</w:t>
      </w:r>
      <w:r>
        <w:t xml:space="preserve"> </w:t>
      </w:r>
      <w:r>
        <w:t xml:space="preserve">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</w:t>
      </w:r>
      <w:r>
        <w:t xml:space="preserve"> </w:t>
      </w:r>
      <w:hyperlink w:anchor="thm-fubini-tonelli">
        <w:r>
          <w:rPr>
            <w:rStyle w:val="Hyperlink"/>
          </w:rPr>
          <w:t xml:space="preserve">Theorem 2</w:t>
        </w:r>
      </w:hyperlink>
      <w:r>
        <w:t xml:space="preserve">: the theorem simply does not apply.</w:t>
      </w:r>
    </w:p>
    <w:p>
      <w:pPr>
        <w:pStyle w:val="BodyText"/>
      </w:pPr>
      <w:r>
        <w:t xml:space="preserve">(Wikipedia contributors 2024)</w:t>
      </w:r>
    </w:p>
    <w:bookmarkEnd w:id="71"/>
    <w:bookmarkStart w:id="82" w:name="refs"/>
    <w:bookmarkStart w:id="72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2"/>
    <w:bookmarkStart w:id="73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3"/>
    <w:bookmarkStart w:id="75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5"/>
    <w:bookmarkStart w:id="77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76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77"/>
    <w:bookmarkStart w:id="79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79"/>
    <w:bookmarkStart w:id="81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4" Target="https://doi.org/10.1007/978-1-4614-4708-5" TargetMode="External" /><Relationship Type="http://schemas.openxmlformats.org/officeDocument/2006/relationships/hyperlink" Id="rId80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69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78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76" Target="https://www.cengage.com/c/calculus-11e-larson/" TargetMode="External" /><Relationship Type="http://schemas.openxmlformats.org/officeDocument/2006/relationships/hyperlink" Id="rId62" Target="measures.qmd#def-absolutely-integrable" TargetMode="External" /><Relationship Type="http://schemas.openxmlformats.org/officeDocument/2006/relationships/hyperlink" Id="rId60" Target="measures.qmd#def-almost-everywhere" TargetMode="External" /><Relationship Type="http://schemas.openxmlformats.org/officeDocument/2006/relationships/hyperlink" Id="rId63" Target="measures.qmd#def-integral" TargetMode="External" /><Relationship Type="http://schemas.openxmlformats.org/officeDocument/2006/relationships/hyperlink" Id="rId67" Target="measures.qmd#def-lebesgue-measure" TargetMode="External" /><Relationship Type="http://schemas.openxmlformats.org/officeDocument/2006/relationships/hyperlink" Id="rId58" Target="measures.qmd#def-measurable-function" TargetMode="External" /><Relationship Type="http://schemas.openxmlformats.org/officeDocument/2006/relationships/hyperlink" Id="rId57" Target="measures.qmd#def-measure-space" TargetMode="External" /><Relationship Type="http://schemas.openxmlformats.org/officeDocument/2006/relationships/hyperlink" Id="rId65" Target="measures.qmd#def-probability-measure" TargetMode="External" /><Relationship Type="http://schemas.openxmlformats.org/officeDocument/2006/relationships/hyperlink" Id="rId61" Target="measures.qmd#def-product-measure" TargetMode="External" /><Relationship Type="http://schemas.openxmlformats.org/officeDocument/2006/relationships/hyperlink" Id="rId59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66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2026-10-14T02:42:54Z</dcterms:created>
  <dcterms:modified xsi:type="dcterms:W3CDTF">2026-10-14T02:42:54Z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19:28:53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