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Proof Writing</w:t>
      </w:r>
    </w:p>
    <w:p>
      <w:pPr>
        <w:pStyle w:val="Date"/>
      </w:pPr>
      <w:r>
        <w:t xml:space="preserve">Last modified: 2026-10-02 05:34:24 (PDT)</w:t>
      </w:r>
    </w:p>
    <w:p>
      <w:pPr>
        <w:pStyle w:val="FirstParagraph"/>
      </w:pPr>
      <w:r>
        <w:t xml:space="preserve">This page collects general advice on how to write proofs and derivations.</w:t>
      </w:r>
      <w:r>
        <w:t xml:space="preserve"> </w:t>
      </w:r>
      <w:r>
        <w:t xml:space="preserve">The goal of a proof is not just to convince yourself that a result is true;</w:t>
      </w:r>
      <w:r>
        <w:t xml:space="preserve"> </w:t>
      </w:r>
      <w:r>
        <w:t xml:space="preserve">it is to convince a</w:t>
      </w:r>
      <w:r>
        <w:t xml:space="preserve"> </w:t>
      </w:r>
      <w:r>
        <w:rPr>
          <w:i/>
          <w:iCs/>
        </w:rPr>
        <w:t xml:space="preserve">reader</w:t>
      </w:r>
      <w:r>
        <w:t xml:space="preserve">,</w:t>
      </w:r>
      <w:r>
        <w:t xml:space="preserve"> </w:t>
      </w:r>
      <w:r>
        <w:t xml:space="preserve">and to show them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it is true.</w:t>
      </w:r>
      <w:r>
        <w:t xml:space="preserve"> </w:t>
      </w:r>
      <w:r>
        <w:t xml:space="preserve">Each principle on this page serves that goal.</w:t>
      </w:r>
      <w:r>
        <w:t xml:space="preserve"> </w:t>
      </w:r>
      <w:r>
        <w:t xml:space="preserve">The symbols for logical entailment are listed under</w:t>
      </w:r>
      <w:r>
        <w:t xml:space="preserve"> </w:t>
      </w:r>
      <w:hyperlink r:id="rId9">
        <w:r>
          <w:rPr>
            <w:rStyle w:val="Hyperlink"/>
          </w:rPr>
          <w:t xml:space="preserve">Proofs</w:t>
        </w:r>
      </w:hyperlink>
      <w:r>
        <w:t xml:space="preserve"> </w:t>
      </w:r>
      <w:r>
        <w:t xml:space="preserve">on the Notation page.</w:t>
      </w:r>
    </w:p>
    <w:bookmarkStart w:id="10" w:name="sec-dont-skip-steps"/>
    <w:p>
      <w:pPr>
        <w:pStyle w:val="Heading2"/>
      </w:pPr>
      <w:r>
        <w:t xml:space="preserve">1 Don’t skip steps</w:t>
      </w:r>
    </w:p>
    <w:p>
      <w:pPr>
        <w:pStyle w:val="FirstParagraph"/>
      </w:pPr>
      <w:r>
        <w:t xml:space="preserve">Show every step of the derivation.</w:t>
      </w:r>
      <w:r>
        <w:t xml:space="preserve"> </w:t>
      </w:r>
      <w:r>
        <w:t xml:space="preserve">Each line should follow from the previous line by a single, identifiable move:</w:t>
      </w:r>
    </w:p>
    <w:p>
      <w:pPr>
        <w:pStyle w:val="Compact"/>
        <w:numPr>
          <w:ilvl w:val="0"/>
          <w:numId w:val="1001"/>
        </w:numPr>
      </w:pPr>
      <w:r>
        <w:t xml:space="preserve">applying a definition,</w:t>
      </w:r>
    </w:p>
    <w:p>
      <w:pPr>
        <w:pStyle w:val="Compact"/>
        <w:numPr>
          <w:ilvl w:val="0"/>
          <w:numId w:val="1001"/>
        </w:numPr>
      </w:pPr>
      <w:r>
        <w:t xml:space="preserve">substituting a known result, or</w:t>
      </w:r>
    </w:p>
    <w:p>
      <w:pPr>
        <w:pStyle w:val="Compact"/>
        <w:numPr>
          <w:ilvl w:val="0"/>
          <w:numId w:val="1001"/>
        </w:numPr>
      </w:pPr>
      <w:r>
        <w:t xml:space="preserve">performing one algebraic operation.</w:t>
      </w:r>
    </w:p>
    <w:p>
      <w:pPr>
        <w:pStyle w:val="FirstParagraph"/>
      </w:pPr>
      <w:r>
        <w:t xml:space="preserve">When you skip steps,</w:t>
      </w:r>
      <w:r>
        <w:t xml:space="preserve"> </w:t>
      </w:r>
      <w:r>
        <w:t xml:space="preserve">you force the reader to reconstruct your reasoning,</w:t>
      </w:r>
      <w:r>
        <w:t xml:space="preserve"> </w:t>
      </w:r>
      <w:r>
        <w:t xml:space="preserve">which is exactly the work the proof was supposed to do</w:t>
      </w:r>
      <w:r>
        <w:t xml:space="preserve"> </w:t>
      </w:r>
      <w:r>
        <w:rPr>
          <w:i/>
          <w:iCs/>
        </w:rPr>
        <w:t xml:space="preserve">for</w:t>
      </w:r>
      <w:r>
        <w:t xml:space="preserve"> </w:t>
      </w:r>
      <w:r>
        <w:t xml:space="preserve">them.</w:t>
      </w:r>
      <w:r>
        <w:t xml:space="preserve"> </w:t>
      </w:r>
      <w:r>
        <w:t xml:space="preserve">A step that feels</w:t>
      </w:r>
      <w:r>
        <w:t xml:space="preserve"> </w:t>
      </w:r>
      <w:r>
        <w:t xml:space="preserve">“obvious”</w:t>
      </w:r>
      <w:r>
        <w:t xml:space="preserve"> </w:t>
      </w:r>
      <w:r>
        <w:t xml:space="preserve">while you are writing it</w:t>
      </w:r>
      <w:r>
        <w:t xml:space="preserve"> </w:t>
      </w:r>
      <w:r>
        <w:t xml:space="preserve">is often the step a reader gets stuck on.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can be shown that”</w:t>
      </w:r>
      <w:r>
        <w:t xml:space="preserve"> </w:t>
      </w:r>
      <w:r>
        <w:t xml:space="preserve">or</w:t>
      </w:r>
      <w:r>
        <w:t xml:space="preserve"> </w:t>
      </w:r>
      <w:r>
        <w:t xml:space="preserve">“clearly”</w:t>
      </w:r>
      <w:r>
        <w:t xml:space="preserve"> </w:t>
      </w:r>
      <w:r>
        <w:t xml:space="preserve">usually mark a skipped step;</w:t>
      </w:r>
      <w:r>
        <w:t xml:space="preserve"> </w:t>
      </w:r>
      <w:r>
        <w:t xml:space="preserve">show the step instead.</w:t>
      </w:r>
    </w:p>
    <w:bookmarkEnd w:id="10"/>
    <w:bookmarkStart w:id="14" w:name="sec-annotate-each-step"/>
    <w:p>
      <w:pPr>
        <w:pStyle w:val="Heading2"/>
      </w:pPr>
      <w:r>
        <w:t xml:space="preserve">2 Annotate each step</w:t>
      </w:r>
    </w:p>
    <w:p>
      <w:pPr>
        <w:pStyle w:val="FirstParagraph"/>
      </w:pPr>
      <w:r>
        <w:t xml:space="preserve">For each step,</w:t>
      </w:r>
      <w:r>
        <w:t xml:space="preserve"> </w:t>
      </w:r>
      <w:r>
        <w:t xml:space="preserve">note the definition, theorem, or algebraic rule that justifies it.</w:t>
      </w:r>
      <w:r>
        <w:t xml:space="preserve"> </w:t>
      </w:r>
      <w:r>
        <w:t xml:space="preserve">A brief annotation to the right of the line is usually enough.</w:t>
      </w:r>
      <w:r>
        <w:t xml:space="preserve"> </w:t>
      </w:r>
      <w:r>
        <w:t xml:space="preserve">Annotations make the proof checkable,</w:t>
      </w:r>
      <w:r>
        <w:t xml:space="preserve"> </w:t>
      </w:r>
      <w:r>
        <w:t xml:space="preserve">and they teach the reader which tool to reach for in similar situations.</w:t>
      </w:r>
    </w:p>
    <w:p>
      <w:pPr>
        <w:pStyle w:val="BodyText"/>
      </w:pPr>
      <w:r>
        <w:t xml:space="preserve">For example,</w:t>
      </w:r>
      <w:r>
        <w:t xml:space="preserve"> </w:t>
      </w:r>
      <w:r>
        <w:t xml:space="preserve">here is a derivation that the</w:t>
      </w:r>
      <w:r>
        <w:t xml:space="preserve"> </w:t>
      </w:r>
      <w:hyperlink r:id="rId11">
        <w:r>
          <w:rPr>
            <w:rStyle w:val="Hyperlink"/>
          </w:rPr>
          <w:t xml:space="preserve">hat matrix</w:t>
        </w:r>
      </w:hyperlink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idempotent,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,</w:t>
      </w:r>
      <w:r>
        <w:t xml:space="preserve"> </w:t>
      </w:r>
      <w:r>
        <w:t xml:space="preserve">with each step annotated: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matrix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matrix inverse times the matrix is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identity matrix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12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uses this derivation to show that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a projection matrix.</w:t>
      </w:r>
      <w:r>
        <w:t xml:space="preserve"> </w:t>
      </w:r>
      <w:r>
        <w:t xml:space="preserve">The probability notes derive the variance identity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 </w:t>
      </w:r>
      <w:hyperlink r:id="rId13">
        <w:r>
          <w:rPr>
            <w:rStyle w:val="Hyperlink"/>
          </w:rPr>
          <w:t xml:space="preserve">in the same annotated style</w:t>
        </w:r>
      </w:hyperlink>
      <w:r>
        <w:t xml:space="preserve">.</w:t>
      </w:r>
    </w:p>
    <w:bookmarkEnd w:id="14"/>
    <w:bookmarkStart w:id="15" w:name="sec-golden-rule"/>
    <w:p>
      <w:pPr>
        <w:pStyle w:val="Heading2"/>
      </w:pPr>
      <w:r>
        <w:t xml:space="preserve">3 Follow the golden rule</w:t>
      </w:r>
    </w:p>
    <w:p>
      <w:pPr>
        <w:pStyle w:val="FirstParagraph"/>
      </w:pPr>
      <w:r>
        <w:t xml:space="preserve">In general,</w:t>
      </w:r>
      <w:r>
        <w:t xml:space="preserve"> </w:t>
      </w:r>
      <w:r>
        <w:t xml:space="preserve">follow the golden rule:</w:t>
      </w:r>
      <w:r>
        <w:t xml:space="preserve"> </w:t>
      </w:r>
      <w:r>
        <w:t xml:space="preserve">treat your readers the way you want to be treated as a reader.</w:t>
      </w:r>
    </w:p>
    <w:p>
      <w:pPr>
        <w:pStyle w:val="BodyText"/>
      </w:pPr>
      <w:r>
        <w:t xml:space="preserve">When you read someone else’s proof,</w:t>
      </w:r>
      <w:r>
        <w:t xml:space="preserve"> </w:t>
      </w:r>
      <w:r>
        <w:t xml:space="preserve">you want to be able to follow every step without guessing,</w:t>
      </w:r>
      <w:r>
        <w:t xml:space="preserve"> </w:t>
      </w:r>
      <w:r>
        <w:t xml:space="preserve">to know which result is being used at each line,</w:t>
      </w:r>
      <w:r>
        <w:t xml:space="preserve"> </w:t>
      </w:r>
      <w:r>
        <w:t xml:space="preserve">and to never be left wondering where a quantity came from.</w:t>
      </w:r>
      <w:r>
        <w:t xml:space="preserve"> </w:t>
      </w:r>
      <w:r>
        <w:t xml:space="preserve">Write your own proofs to meet that same standard.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" Target="https://morrison-lab.github.io/rme/chapters/probability.html#thm-variance" TargetMode="External" /><Relationship Type="http://schemas.openxmlformats.org/officeDocument/2006/relationships/hyperlink" Id="rId11" Target="linear-algebra.qmd#def-hat-matrix" TargetMode="External" /><Relationship Type="http://schemas.openxmlformats.org/officeDocument/2006/relationships/hyperlink" Id="rId12" Target="linear-algebra.qmd#thm-hat-matrix" TargetMode="External" /><Relationship Type="http://schemas.openxmlformats.org/officeDocument/2006/relationships/hyperlink" Id="rId9" Target="notation.qmd#proof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https://morrison-lab.github.io/rme/chapters/probability.html#thm-variance" TargetMode="External" /><Relationship Type="http://schemas.openxmlformats.org/officeDocument/2006/relationships/hyperlink" Id="rId11" Target="linear-algebra.qmd#def-hat-matrix" TargetMode="External" /><Relationship Type="http://schemas.openxmlformats.org/officeDocument/2006/relationships/hyperlink" Id="rId12" Target="linear-algebra.qmd#thm-hat-matrix" TargetMode="External" /><Relationship Type="http://schemas.openxmlformats.org/officeDocument/2006/relationships/hyperlink" Id="rId9" Target="notation.qmd#proof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Proof Writing</dc:title>
  <dc:creator/>
  <cp:keywords/>
  <dcterms:created xsi:type="dcterms:W3CDTF">2026-10-02T12:41:13Z</dcterms:created>
  <dcterms:modified xsi:type="dcterms:W3CDTF">2026-10-02T12:41:13Z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2026-10-02 05:34:24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