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40" w:name="sec-subscripts-parentheses"/>
    <w:p>
      <w:pPr>
        <w:pStyle w:val="Heading2"/>
      </w:pPr>
      <w:del w:id="3" w:author="PR Preview" w:date="2026-01-01T00:00:00Z">
        <w:r>
          <w:delText xml:space="preserve">2 Why is notation in probability and statistics so inconsistent and disorganized?</w:delText>
        </w:r>
      </w:del>
    </w:p>
    <w:p>
      <w:pPr>
        <w:pStyle w:val="Heading2"/>
      </w:pPr>
      <w:ins w:id="4" w:author="PR Preview" w:date="2026-01-01T00:00:00Z">
        <w:r>
          <w:t xml:space="preserve">2 Subscripts and parentheses</w:t>
        </w:r>
      </w:ins>
    </w:p>
    <w:bookmarkStart w:id="30" w:name="rem-subscript-parentheses-convention"/>
    <w:p>
      <w:pPr>
        <w:pStyle w:val="FirstParagraph"/>
      </w:pPr>
      <w:ins w:id="5" w:author="PR Preview" w:date="2026-01-01T00:00:00Z">
        <w:r>
          <w:rPr>
            <w:i/>
            <w:iCs/>
          </w:rPr>
          <w:t xml:space="preserve">Remark 1</w:t>
        </w:r>
      </w:ins>
      <w:ins w:id="6" w:author="PR Preview" w:date="2026-01-01T00:00:00Z">
        <w:r>
          <w:t xml:space="preserve"> (Our convention for subscripts and parentheses). </w:t>
        </w:r>
      </w:ins>
      <w:ins w:id="7" w:author="PR Preview" w:date="2026-01-01T00:00:00Z">
        <w:r>
          <w:t xml:space="preserve">Subscripts and parentheses both attach extra information to a symbol,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and sources divide the work between them differently.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These notes follow two rules of thumb:</w:t>
        </w:r>
      </w:ins>
    </w:p>
    <w:p>
      <w:pPr>
        <w:pStyle w:val="Compact"/>
        <w:numPr>
          <w:ilvl w:val="0"/>
          <w:numId w:val="1001"/>
        </w:numPr>
      </w:pPr>
      <w:ins w:id="12" w:author="PR Preview" w:date="2026-01-01T00:00:00Z">
        <w:r>
          <w:t xml:space="preserve">A subscript names which member of an</w:t>
        </w:r>
      </w:ins>
      <w:ins w:id="13" w:author="PR Preview" w:date="2026-01-01T00:00:00Z">
        <w:r>
          <w:t xml:space="preserve"> </w:t>
        </w:r>
      </w:ins>
      <w:hyperlink r:id="rId28">
        <w:ins w:id="14" w:author="PR Preview" w:date="2026-01-01T00:00:00Z">
          <w:r>
            <w:rPr>
              <w:rStyle w:val="Hyperlink"/>
            </w:rPr>
            <w:t xml:space="preserve">indexed family</w:t>
          </w:r>
        </w:ins>
      </w:hyperlink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we mean.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It holds an index, such as the</w:t>
        </w:r>
      </w:ins>
      <w:ins w:id="19" w:author="PR Preview" w:date="2026-01-01T00:00:00Z">
        <w:r>
          <w:t xml:space="preserve"> </w:t>
        </w:r>
      </w:ins>
      <m:oMath>
        <m:r>
          <m:t>i</m:t>
        </m:r>
      </m:oMath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in</w:t>
        </w:r>
      </w:ins>
      <w:ins w:id="2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23" w:author="PR Preview" w:date="2026-01-01T00:00:00Z">
        <w:r>
          <w:t xml:space="preserve">,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or a parameter that picks one</w:t>
        </w:r>
      </w:ins>
      <w:ins w:id="26" w:author="PR Preview" w:date="2026-01-01T00:00:00Z">
        <w:r>
          <w:t xml:space="preserve"> </w:t>
        </w:r>
      </w:ins>
      <w:hyperlink r:id="rId29">
        <w:ins w:id="2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or distribution out of the family,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such as the</w:t>
        </w:r>
      </w:ins>
      <w:ins w:id="32" w:author="PR Preview" w:date="2026-01-01T00:00:00Z">
        <w:r>
          <w:t xml:space="preserve"> </w:t>
        </w:r>
      </w:ins>
      <m:oMath>
        <m:r>
          <m:t>θ</m:t>
        </m:r>
      </m:oMath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in</w:t>
        </w:r>
      </w:ins>
      <w:ins w:id="35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θ</m:t>
            </m:r>
          </m:sub>
        </m:sSub>
      </m:oMath>
      <w:ins w:id="3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01"/>
        </w:numPr>
      </w:pPr>
      <w:ins w:id="37" w:author="PR Preview" w:date="2026-01-01T00:00:00Z">
        <w:r>
          <w:t xml:space="preserve">Parentheses hold the input a function is evaluated at,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as in</w:t>
        </w:r>
      </w:ins>
      <w:ins w:id="40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1" w:author="PR Preview" w:date="2026-01-01T00:00:00Z">
        <w:r>
          <w:t xml:space="preserve">.</w:t>
        </w:r>
      </w:ins>
    </w:p>
    <w:p>
      <w:pPr>
        <w:pStyle w:val="FirstParagraph"/>
      </w:pPr>
      <w:ins w:id="42" w:author="PR Preview" w:date="2026-01-01T00:00:00Z">
        <w:r>
          <w:t xml:space="preserve">Under these rules,</w:t>
        </w:r>
      </w:ins>
      <w:ins w:id="43" w:author="PR Preview" w:date="2026-01-01T00:00:00Z">
        <w:r>
          <w:t xml:space="preserve"> </w:t>
        </w:r>
      </w:ins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reads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“the member of the family labeled</w:t>
        </w:r>
      </w:ins>
      <w:ins w:id="48" w:author="PR Preview" w:date="2026-01-01T00:00:00Z">
        <w:r>
          <w:t xml:space="preserve"> </w:t>
        </w:r>
      </w:ins>
      <m:oMath>
        <m:r>
          <m:t>θ</m:t>
        </m:r>
      </m:oMath>
      <w:ins w:id="49" w:author="PR Preview" w:date="2026-01-01T00:00:00Z">
        <w:r>
          <w:t xml:space="preserve">, evaluated at</w:t>
        </w:r>
      </w:ins>
      <w:ins w:id="50" w:author="PR Preview" w:date="2026-01-01T00:00:00Z">
        <w:r>
          <w:t xml:space="preserve"> </w:t>
        </w:r>
      </w:ins>
      <m:oMath>
        <m:r>
          <m:t>x</m:t>
        </m:r>
      </m:oMath>
      <w:ins w:id="51" w:author="PR Preview" w:date="2026-01-01T00:00:00Z">
        <w:r>
          <w:t xml:space="preserve">”</w:t>
        </w:r>
      </w:ins>
      <w:ins w:id="52" w:author="PR Preview" w:date="2026-01-01T00:00:00Z">
        <w:r>
          <w:t xml:space="preserve">.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Nothing forces this split.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It is a convention for keeping a formula readable,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and you will meet the same objects written the other way around.</w:t>
        </w:r>
      </w:ins>
    </w:p>
    <w:bookmarkEnd w:id="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1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2"/>
          <w:p/>
        </w:tc>
      </w:tr>
    </w:tbl>
    <w:bookmarkStart w:id="37" w:name="rem-process-notation"/>
    <w:p>
      <w:pPr>
        <w:pStyle w:val="BodyText"/>
      </w:pPr>
      <w:ins w:id="59" w:author="PR Preview" w:date="2026-01-01T00:00:00Z">
        <w:r>
          <w:rPr>
            <w:i/>
            <w:iCs/>
          </w:rPr>
          <w:t xml:space="preserve">Remark 2</w:t>
        </w:r>
      </w:ins>
      <w:ins w:id="60" w:author="PR Preview" w:date="2026-01-01T00:00:00Z">
        <w:r>
          <w:t xml:space="preserve"> (Subscripts and parentheses for a stochastic process). </w:t>
        </w:r>
      </w:ins>
      <w:ins w:id="61" w:author="PR Preview" w:date="2026-01-01T00:00:00Z">
        <w:r>
          <w:t xml:space="preserve">The notation for a</w:t>
        </w:r>
      </w:ins>
      <w:ins w:id="62" w:author="PR Preview" w:date="2026-01-01T00:00:00Z">
        <w:r>
          <w:t xml:space="preserve"> </w:t>
        </w:r>
      </w:ins>
      <w:hyperlink r:id="rId33">
        <w:ins w:id="63" w:author="PR Preview" w:date="2026-01-01T00:00:00Z">
          <w:r>
            <w:rPr>
              <w:rStyle w:val="Hyperlink"/>
            </w:rPr>
            <w:t xml:space="preserve">stochastic process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uses both slots at once.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A stochastic process is an</w:t>
        </w:r>
      </w:ins>
      <w:ins w:id="68" w:author="PR Preview" w:date="2026-01-01T00:00:00Z">
        <w:r>
          <w:t xml:space="preserve"> </w:t>
        </w:r>
      </w:ins>
      <w:hyperlink r:id="rId28">
        <w:ins w:id="69" w:author="PR Preview" w:date="2026-01-01T00:00:00Z">
          <w:r>
            <w:rPr>
              <w:rStyle w:val="Hyperlink"/>
            </w:rPr>
            <w:t xml:space="preserve">indexed family</w:t>
          </w:r>
        </w:ins>
      </w:hyperlink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of</w:t>
        </w:r>
      </w:ins>
      <w:ins w:id="72" w:author="PR Preview" w:date="2026-01-01T00:00:00Z">
        <w:r>
          <w:t xml:space="preserve"> </w:t>
        </w:r>
      </w:ins>
      <w:hyperlink r:id="rId14">
        <w:ins w:id="73" w:author="PR Preview" w:date="2026-01-01T00:00:00Z">
          <w:r>
            <w:rPr>
              <w:rStyle w:val="Hyperlink"/>
            </w:rPr>
            <w:t xml:space="preserve">random variables</w:t>
          </w:r>
        </w:ins>
      </w:hyperlink>
      <w:ins w:id="7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75" w:author="PR Preview" w:date="2026-01-01T00:00:00Z">
        <w:r>
          <w:t xml:space="preserve">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one for each index</w:t>
        </w:r>
      </w:ins>
      <w:ins w:id="78" w:author="PR Preview" w:date="2026-01-01T00:00:00Z">
        <w:r>
          <w:t xml:space="preserve"> </w:t>
        </w:r>
      </w:ins>
      <m:oMath>
        <m:r>
          <m:t>t</m:t>
        </m:r>
      </m:oMath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in some</w:t>
        </w:r>
      </w:ins>
      <w:ins w:id="81" w:author="PR Preview" w:date="2026-01-01T00:00:00Z">
        <w:r>
          <w:t xml:space="preserve"> </w:t>
        </w:r>
      </w:ins>
      <w:hyperlink r:id="rId34">
        <w:ins w:id="82" w:author="PR Preview" w:date="2026-01-01T00:00:00Z">
          <w:r>
            <w:rPr>
              <w:rStyle w:val="Hyperlink"/>
            </w:rPr>
            <w:t xml:space="preserve">index set</w:t>
          </w:r>
        </w:ins>
      </w:hyperlink>
      <w:ins w:id="83" w:author="PR Preview" w:date="2026-01-01T00:00:00Z">
        <w:r>
          <w:t xml:space="preserve">, such as time.</w:t>
        </w:r>
      </w:ins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The index goes in the subscript, because it picks a member of the family.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Each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itself a</w:t>
        </w:r>
      </w:ins>
      <w:ins w:id="91" w:author="PR Preview" w:date="2026-01-01T00:00:00Z">
        <w:r>
          <w:t xml:space="preserve"> </w:t>
        </w:r>
      </w:ins>
      <w:hyperlink r:id="rId29">
        <w:ins w:id="92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of the</w:t>
        </w:r>
      </w:ins>
      <w:ins w:id="95" w:author="PR Preview" w:date="2026-01-01T00:00:00Z">
        <w:r>
          <w:t xml:space="preserve"> </w:t>
        </w:r>
      </w:ins>
      <w:hyperlink r:id="rId35">
        <w:ins w:id="96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97" w:author="PR Preview" w:date="2026-01-01T00:00:00Z">
        <w:r>
          <w:t xml:space="preserve"> </w:t>
        </w:r>
      </w:ins>
      <m:oMath>
        <m:r>
          <m:t>ω</m:t>
        </m:r>
      </m:oMath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of a</w:t>
        </w:r>
      </w:ins>
      <w:ins w:id="100" w:author="PR Preview" w:date="2026-01-01T00:00:00Z">
        <w:r>
          <w:t xml:space="preserve"> </w:t>
        </w:r>
      </w:ins>
      <w:hyperlink r:id="rId35">
        <w:ins w:id="101" w:author="PR Preview" w:date="2026-01-01T00:00:00Z">
          <w:r>
            <w:rPr>
              <w:rStyle w:val="Hyperlink"/>
            </w:rPr>
            <w:t xml:space="preserve">random experiment</w:t>
          </w:r>
        </w:ins>
      </w:hyperlink>
      <w:ins w:id="102" w:author="PR Preview" w:date="2026-01-01T00:00:00Z">
        <w:r>
          <w:t xml:space="preserve">,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that is, an element of the</w:t>
        </w:r>
      </w:ins>
      <w:ins w:id="105" w:author="PR Preview" w:date="2026-01-01T00:00:00Z">
        <w:r>
          <w:t xml:space="preserve"> </w:t>
        </w:r>
      </w:ins>
      <w:hyperlink r:id="rId36">
        <w:ins w:id="106" w:author="PR Preview" w:date="2026-01-01T00:00:00Z">
          <w:r>
            <w:rPr>
              <w:rStyle w:val="Hyperlink"/>
            </w:rPr>
            <w:t xml:space="preserve">sample space</w:t>
          </w:r>
        </w:ins>
      </w:hyperlink>
      <w:ins w:id="107" w:author="PR Preview" w:date="2026-01-01T00:00:00Z">
        <w:r>
          <w:t xml:space="preserve">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so the outcome goes in the parentheses:</w:t>
        </w:r>
      </w:ins>
      <w:ins w:id="11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Fixing</w:t>
        </w:r>
      </w:ins>
      <w:ins w:id="114" w:author="PR Preview" w:date="2026-01-01T00:00:00Z">
        <w:r>
          <w:t xml:space="preserve"> </w:t>
        </w:r>
      </w:ins>
      <m:oMath>
        <m:r>
          <m:t>ω</m:t>
        </m:r>
      </m:oMath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and letting</w:t>
        </w:r>
      </w:ins>
      <w:ins w:id="117" w:author="PR Preview" w:date="2026-01-01T00:00:00Z">
        <w:r>
          <w:t xml:space="preserve"> </w:t>
        </w:r>
      </w:ins>
      <m:oMath>
        <m:r>
          <m:t>t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vary traces out one path of the process.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Many sources drop</w:t>
        </w:r>
      </w:ins>
      <w:ins w:id="122" w:author="PR Preview" w:date="2026-01-01T00:00:00Z">
        <w:r>
          <w:t xml:space="preserve"> </w:t>
        </w:r>
      </w:ins>
      <m:oMath>
        <m:r>
          <m:t>ω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and write</w:t>
        </w:r>
      </w:ins>
      <w:ins w:id="12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126" w:author="PR Preview" w:date="2026-01-01T00:00:00Z">
        <w:r>
          <w:t xml:space="preserve">, or write</w:t>
        </w:r>
      </w:ins>
      <w:ins w:id="12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when</w:t>
        </w:r>
      </w:ins>
      <w:ins w:id="130" w:author="PR Preview" w:date="2026-01-01T00:00:00Z">
        <w:r>
          <w:t xml:space="preserve"> </w:t>
        </w:r>
      </w:ins>
      <m:oMath>
        <m:r>
          <m:t>t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 continuous.</w:t>
        </w:r>
      </w:ins>
    </w:p>
    <w:bookmarkEnd w:id="37"/>
    <w:bookmarkStart w:id="38" w:name="exm-process-notation"/>
    <w:p>
      <w:pPr>
        <w:pStyle w:val="BodyText"/>
      </w:pPr>
      <w:ins w:id="133" w:author="PR Preview" w:date="2026-01-01T00:00:00Z">
        <w:r>
          <w:rPr>
            <w:b/>
            <w:bCs/>
          </w:rPr>
          <w:t xml:space="preserve">Example 1 (Reading</w:t>
        </w:r>
      </w:ins>
      <w:ins w:id="134" w:author="PR Preview" w:date="2026-01-01T00:00:00Z">
        <w:r>
          <w:rPr>
            <w:b/>
            <w:bCs/>
          </w:rP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ins w:id="135" w:author="PR Preview" w:date="2026-01-01T00:00:00Z">
        <w:r>
          <w:rPr>
            <w:b/>
            <w:bCs/>
          </w:rPr>
          <w:t xml:space="preserve">)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Let</w:t>
        </w:r>
      </w:ins>
      <w:ins w:id="13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t</m:t>
            </m:r>
          </m:sub>
        </m:sSub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be the position of a particle at time</w:t>
        </w:r>
      </w:ins>
      <w:ins w:id="14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0</m:t>
        </m:r>
      </m:oMath>
      <w:ins w:id="142" w:author="PR Preview" w:date="2026-01-01T00:00:00Z">
        <w:r>
          <w:t xml:space="preserve">.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Then</w:t>
        </w:r>
      </w:ins>
      <w:ins w:id="145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3</m:t>
            </m:r>
          </m:sub>
        </m:sSub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is the random position at time 3,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and</w:t>
        </w:r>
      </w:ins>
      <w:ins w:id="15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is its value when the experiment’s</w:t>
        </w:r>
      </w:ins>
      <w:ins w:id="153" w:author="PR Preview" w:date="2026-01-01T00:00:00Z">
        <w:r>
          <w:t xml:space="preserve"> </w:t>
        </w:r>
      </w:ins>
      <w:hyperlink r:id="rId35">
        <w:ins w:id="154" w:author="PR Preview" w:date="2026-01-01T00:00:00Z">
          <w:r>
            <w:rPr>
              <w:rStyle w:val="Hyperlink"/>
            </w:rPr>
            <w:t xml:space="preserve">outcome</w:t>
          </w:r>
        </w:ins>
      </w:hyperlink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</w:t>
        </w:r>
      </w:ins>
      <w:ins w:id="157" w:author="PR Preview" w:date="2026-01-01T00:00:00Z">
        <w:r>
          <w:t xml:space="preserve"> </w:t>
        </w:r>
      </w:ins>
      <m:oMath>
        <m:r>
          <m:t>ω</m:t>
        </m:r>
      </m:oMath>
      <w:ins w:id="158" w:author="PR Preview" w:date="2026-01-01T00:00:00Z">
        <w:r>
          <w:t xml:space="preserve">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Holding</w:t>
        </w:r>
      </w:ins>
      <w:ins w:id="161" w:author="PR Preview" w:date="2026-01-01T00:00:00Z">
        <w:r>
          <w:t xml:space="preserve"> </w:t>
        </w:r>
      </w:ins>
      <m:oMath>
        <m:r>
          <m:t>ω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fixed and letting</w:t>
        </w:r>
      </w:ins>
      <w:ins w:id="164" w:author="PR Preview" w:date="2026-01-01T00:00:00Z">
        <w:r>
          <w:t xml:space="preserve"> </w:t>
        </w:r>
      </w:ins>
      <m:oMath>
        <m:r>
          <m:t>t</m:t>
        </m:r>
      </m:oMath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vary gives the particle’s whole path for that outcome.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 source that writes</w:t>
        </w:r>
      </w:ins>
      <w:ins w:id="16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means the same thing,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with both arguments in parentheses.</w:t>
        </w:r>
      </w:ins>
    </w:p>
    <w:bookmarkEnd w:id="38"/>
    <w:bookmarkStart w:id="39" w:name="rem-reading-other-sources"/>
    <w:p>
      <w:pPr>
        <w:pStyle w:val="BodyText"/>
      </w:pPr>
      <w:ins w:id="174" w:author="PR Preview" w:date="2026-01-01T00:00:00Z">
        <w:r>
          <w:rPr>
            <w:i/>
            <w:iCs/>
          </w:rPr>
          <w:t xml:space="preserve">Remark 3</w:t>
        </w:r>
      </w:ins>
      <w:ins w:id="175" w:author="PR Preview" w:date="2026-01-01T00:00:00Z">
        <w:r>
          <w:t xml:space="preserve"> (Reading another source’s subscripts and parentheses). </w:t>
        </w:r>
      </w:ins>
      <w:ins w:id="176" w:author="PR Preview" w:date="2026-01-01T00:00:00Z">
        <w:r>
          <w:t xml:space="preserve">When you read a formula from another source,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first work out what each subscript and each argument is doing: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labeling a member of an</w:t>
        </w:r>
      </w:ins>
      <w:ins w:id="181" w:author="PR Preview" w:date="2026-01-01T00:00:00Z">
        <w:r>
          <w:t xml:space="preserve"> </w:t>
        </w:r>
      </w:ins>
      <w:hyperlink r:id="rId28">
        <w:ins w:id="182" w:author="PR Preview" w:date="2026-01-01T00:00:00Z">
          <w:r>
            <w:rPr>
              <w:rStyle w:val="Hyperlink"/>
            </w:rPr>
            <w:t xml:space="preserve">indexed family</w:t>
          </w:r>
        </w:ins>
      </w:hyperlink>
      <w:ins w:id="183" w:author="PR Preview" w:date="2026-01-01T00:00:00Z">
        <w:r>
          <w:t xml:space="preserve">, or being the input of a</w:t>
        </w:r>
      </w:ins>
      <w:ins w:id="184" w:author="PR Preview" w:date="2026-01-01T00:00:00Z">
        <w:r>
          <w:t xml:space="preserve"> </w:t>
        </w:r>
      </w:ins>
      <w:hyperlink r:id="rId29">
        <w:ins w:id="185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86" w:author="PR Preview" w:date="2026-01-01T00:00:00Z">
        <w:r>
          <w:t xml:space="preserve">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That tells you which convention the source follows,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whatever its layout.</w:t>
        </w:r>
      </w:ins>
    </w:p>
    <w:bookmarkEnd w:id="39"/>
    <w:bookmarkEnd w:id="40"/>
    <w:bookmarkStart w:id="47" w:name="X93a3d4ef5e06a67ae6b891e46b41b74b3674f55"/>
    <w:p>
      <w:pPr>
        <w:pStyle w:val="Heading2"/>
      </w:pPr>
      <w:ins w:id="191" w:author="PR Preview" w:date="2026-01-01T00:00:00Z">
        <w:r>
          <w:t xml:space="preserve">3 Why is notation in probability and statistics so inconsistent and disorganized?</w:t>
        </w:r>
      </w:ins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1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2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43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4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5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6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7"/>
    <w:bookmarkStart w:id="54" w:name="sec-further-reading"/>
    <w:p>
      <w:pPr>
        <w:pStyle w:val="Heading2"/>
      </w:pPr>
      <w:del w:id="192" w:author="PR Preview" w:date="2026-01-01T00:00:00Z">
        <w:r>
          <w:delText xml:space="preserve">3 Further reading</w:delText>
        </w:r>
      </w:del>
    </w:p>
    <w:p>
      <w:pPr>
        <w:pStyle w:val="Heading2"/>
      </w:pPr>
      <w:ins w:id="193" w:author="PR Preview" w:date="2026-01-01T00:00:00Z">
        <w:r>
          <w:t xml:space="preserve">4 Further reading</w:t>
        </w:r>
      </w:ins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5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5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53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4"/>
    <w:bookmarkStart w:id="62" w:name="references"/>
    <w:p>
      <w:pPr>
        <w:pStyle w:val="Heading2"/>
      </w:pPr>
      <w:r>
        <w:t xml:space="preserve">References</w:t>
      </w:r>
    </w:p>
    <w:bookmarkStart w:id="61" w:name="refs"/>
    <w:bookmarkStart w:id="56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56"/>
    <w:bookmarkStart w:id="58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57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58"/>
    <w:bookmarkStart w:id="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3" Type="http://schemas.openxmlformats.org/officeDocument/2006/relationships/hyperlink" Target="expressions-algorithms.qmd" TargetMode="External"/><Relationship Id="rId52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1" Type="http://schemas.openxmlformats.org/officeDocument/2006/relationships/hyperlink" Target="functions.qmd#def-sequence" TargetMode="External"/><Relationship Id="rId59" Type="http://schemas.openxmlformats.org/officeDocument/2006/relationships/hyperlink" Target="https://doi.org/10.1017/9781108539890" TargetMode="External"/><Relationship Id="rId57" Type="http://schemas.openxmlformats.org/officeDocument/2006/relationships/hyperlink" Target="https://doi.org/10.2307/2344614" TargetMode="External"/><Relationship Id="rId42" Type="http://schemas.openxmlformats.org/officeDocument/2006/relationships/hyperlink" Target="https://en.wikipedia.org/wiki/Al-Jabr" TargetMode="External"/><Relationship Id="rId43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5" Type="http://schemas.openxmlformats.org/officeDocument/2006/relationships/hyperlink" Target="https://en.wikipedia.org/wiki/History_of_statistics#Development_of_modern_statistics" TargetMode="External"/><Relationship Id="rId41" Type="http://schemas.openxmlformats.org/officeDocument/2006/relationships/hyperlink" Target="https://en.wikipedia.org/wiki/Leibniz%27s_notation" TargetMode="External"/><Relationship Id="rId44" Type="http://schemas.openxmlformats.org/officeDocument/2006/relationships/hyperlink" Target="https://en.wikipedia.org/wiki/Notation_for_differentiation" TargetMode="External"/><Relationship Id="rId46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3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5" Type="http://schemas.openxmlformats.org/officeDocument/2006/relationships/hyperlink" Target="https://morrison-lab.github.io/pds/probability-basics.html#def-random-experiment" TargetMode="External"/><Relationship Id="rId36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9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50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8" Type="http://schemas.openxmlformats.org/officeDocument/2006/relationships/hyperlink" Target="proof-writing.qmd#sec-proof-definitions" TargetMode="External"/><Relationship Id="rId51" Type="http://schemas.openxmlformats.org/officeDocument/2006/relationships/hyperlink" Target="sets.qmd" TargetMode="External"/><Relationship Id="rId34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53" Type="http://schemas.openxmlformats.org/officeDocument/2006/relationships/hyperlink" Target="expressions-algorithms.qmd" TargetMode="External"/><Relationship Id="rId52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1" Type="http://schemas.openxmlformats.org/officeDocument/2006/relationships/hyperlink" Target="functions.qmd#def-sequence" TargetMode="External"/><Relationship Id="rId59" Type="http://schemas.openxmlformats.org/officeDocument/2006/relationships/hyperlink" Target="https://doi.org/10.1017/9781108539890" TargetMode="External"/><Relationship Id="rId57" Type="http://schemas.openxmlformats.org/officeDocument/2006/relationships/hyperlink" Target="https://doi.org/10.2307/2344614" TargetMode="External"/><Relationship Id="rId42" Type="http://schemas.openxmlformats.org/officeDocument/2006/relationships/hyperlink" Target="https://en.wikipedia.org/wiki/Al-Jabr" TargetMode="External"/><Relationship Id="rId43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5" Type="http://schemas.openxmlformats.org/officeDocument/2006/relationships/hyperlink" Target="https://en.wikipedia.org/wiki/History_of_statistics#Development_of_modern_statistics" TargetMode="External"/><Relationship Id="rId41" Type="http://schemas.openxmlformats.org/officeDocument/2006/relationships/hyperlink" Target="https://en.wikipedia.org/wiki/Leibniz%27s_notation" TargetMode="External"/><Relationship Id="rId44" Type="http://schemas.openxmlformats.org/officeDocument/2006/relationships/hyperlink" Target="https://en.wikipedia.org/wiki/Notation_for_differentiation" TargetMode="External"/><Relationship Id="rId46" Type="http://schemas.openxmlformats.org/officeDocument/2006/relationships/hyperlink" Target="https://en.wikipedia.org/wiki/The_Structure_of_Scientific_Revolution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33" Type="http://schemas.openxmlformats.org/officeDocument/2006/relationships/hyperlink" Target="https://morrison-lab.github.io/pds/notation.html#def-stochastic-process" TargetMode="External"/><Relationship Id="rId12" Type="http://schemas.openxmlformats.org/officeDocument/2006/relationships/hyperlink" Target="https://morrison-lab.github.io/pds/probability-basics.html#def-conditional-prob" TargetMode="External"/><Relationship Id="rId35" Type="http://schemas.openxmlformats.org/officeDocument/2006/relationships/hyperlink" Target="https://morrison-lab.github.io/pds/probability-basics.html#def-random-experiment" TargetMode="External"/><Relationship Id="rId36" Type="http://schemas.openxmlformats.org/officeDocument/2006/relationships/hyperlink" Target="https://morrison-lab.github.io/pds/probability-basics.html#def-sample-spac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9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50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8" Type="http://schemas.openxmlformats.org/officeDocument/2006/relationships/hyperlink" Target="proof-writing.qmd#sec-proof-definitions" TargetMode="External"/><Relationship Id="rId51" Type="http://schemas.openxmlformats.org/officeDocument/2006/relationships/hyperlink" Target="sets.qmd" TargetMode="External"/><Relationship Id="rId34" Type="http://schemas.openxmlformats.org/officeDocument/2006/relationships/hyperlink" Target="sets.qmd#def-index-set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2026-10-17T06:28:12Z</dcterms:created>
  <dcterms:modified xsi:type="dcterms:W3CDTF">2026-10-17T06:28:12Z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