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2026-10-03 02:55:01 (PDT)</w:t>
      </w:r>
    </w:p>
    <w:bookmarkStart w:id="12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0" w:name="thm-equal-trans"/>
    <w:p>
      <w:pPr>
        <w:pStyle w:val="BodyText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</w:p>
    <w:bookmarkEnd w:id="10"/>
    <w:bookmarkStart w:id="11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1"/>
    <w:bookmarkEnd w:id="12"/>
    <w:bookmarkStart w:id="17" w:name="inequalities"/>
    <w:p>
      <w:pPr>
        <w:pStyle w:val="Heading2"/>
      </w:pPr>
      <w:r>
        <w:t xml:space="preserve">2 Inequalities</w:t>
      </w:r>
    </w:p>
    <w:bookmarkStart w:id="13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13"/>
    <w:bookmarkStart w:id="14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14"/>
    <w:bookmarkStart w:id="15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15"/>
    <w:bookmarkStart w:id="16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16"/>
    <w:bookmarkEnd w:id="17"/>
    <w:bookmarkStart w:id="28" w:name="sec-min-max"/>
    <w:p>
      <w:pPr>
        <w:pStyle w:val="Heading2"/>
      </w:pPr>
      <w:r>
        <w:t xml:space="preserve">3 Minimum, maximum, argmin and argmax</w:t>
      </w:r>
    </w:p>
    <w:bookmarkStart w:id="1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1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18"/>
    <w:bookmarkStart w:id="1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02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19"/>
    <w:bookmarkStart w:id="20" w:name="def-minimum"/>
    <w:p>
      <w:pPr>
        <w:pStyle w:val="FirstParagraph"/>
      </w:pPr>
      <w:r>
        <w:rPr>
          <w:b/>
          <w:bCs/>
        </w:rPr>
        <w:t xml:space="preserve">Definition 1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0"/>
    <w:bookmarkStart w:id="21" w:name="rem-minimum-may-not-exist"/>
    <w:p>
      <w:pPr>
        <w:pStyle w:val="BodyText"/>
      </w:pPr>
      <w:r>
        <w:rPr>
          <w:i/>
          <w:iCs/>
        </w:rPr>
        <w:t xml:space="preserve">Remark 1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21"/>
    <w:bookmarkStart w:id="22" w:name="def-maximum"/>
    <w:p>
      <w:pPr>
        <w:pStyle w:val="BodyText"/>
      </w:pPr>
      <w:r>
        <w:rPr>
          <w:b/>
          <w:bCs/>
        </w:rPr>
        <w:t xml:space="preserve">Definition 2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2"/>
    <w:bookmarkStart w:id="24" w:name="def-argmin"/>
    <w:p>
      <w:pPr>
        <w:pStyle w:val="BodyText"/>
      </w:pPr>
      <w:r>
        <w:rPr>
          <w:b/>
          <w:bCs/>
        </w:rPr>
        <w:t xml:space="preserve">Definition 3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4"/>
    <w:bookmarkStart w:id="26" w:name="rem-argmin-vs-minimum"/>
    <w:p>
      <w:pPr>
        <w:pStyle w:val="BodyText"/>
      </w:pPr>
      <w:r>
        <w:rPr>
          <w:i/>
          <w:iCs/>
        </w:rPr>
        <w:t xml:space="preserve">Remark 2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2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6"/>
    <w:bookmarkStart w:id="27" w:name="def-argmax"/>
    <w:p>
      <w:pPr>
        <w:pStyle w:val="BodyText"/>
      </w:pPr>
      <w:r>
        <w:rPr>
          <w:b/>
          <w:bCs/>
        </w:rPr>
        <w:t xml:space="preserve">Definition 4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End w:id="28"/>
    <w:bookmarkStart w:id="36" w:name="sec-minimizers"/>
    <w:p>
      <w:pPr>
        <w:pStyle w:val="Heading2"/>
      </w:pPr>
      <w:r>
        <w:t xml:space="preserve">4 Global and local minimizers</w:t>
      </w:r>
    </w:p>
    <w:bookmarkStart w:id="29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0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29"/>
    <w:bookmarkStart w:id="30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27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def-global-minimizer"/>
    <w:p>
      <w:pPr>
        <w:pStyle w:val="FirstParagraph"/>
      </w:pPr>
      <w:r>
        <w:rPr>
          <w:b/>
          <w:bCs/>
        </w:rPr>
        <w:t xml:space="preserve">Definition 5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1"/>
    <w:bookmarkStart w:id="32" w:name="rem-global-minimizer-argmin"/>
    <w:p>
      <w:pPr>
        <w:pStyle w:val="BodyText"/>
      </w:pPr>
      <w:r>
        <w:rPr>
          <w:i/>
          <w:iCs/>
        </w:rPr>
        <w:t xml:space="preserve">Remark 3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32"/>
    <w:bookmarkStart w:id="34" w:name="def-local-minimizer"/>
    <w:p>
      <w:pPr>
        <w:pStyle w:val="BodyText"/>
      </w:pPr>
      <w:r>
        <w:rPr>
          <w:b/>
          <w:bCs/>
        </w:rPr>
        <w:t xml:space="preserve">Definition 6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34"/>
    <w:bookmarkStart w:id="35" w:name="rem-local-minimizer"/>
    <w:p>
      <w:pPr>
        <w:pStyle w:val="BodyText"/>
      </w:pPr>
      <w:r>
        <w:rPr>
          <w:i/>
          <w:iCs/>
        </w:rPr>
        <w:t xml:space="preserve">Remark 4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5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 converse 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35"/>
    <w:bookmarkEnd w:id="36"/>
    <w:bookmarkStart w:id="44" w:name="sec-convexity"/>
    <w:p>
      <w:pPr>
        <w:pStyle w:val="Heading2"/>
      </w:pPr>
      <w:r>
        <w:t xml:space="preserve">5 Convex functions</w:t>
      </w:r>
    </w:p>
    <w:bookmarkStart w:id="37" w:name="exr-convex-chord"/>
    <w:p>
      <w:pPr>
        <w:pStyle w:val="FirstParagraph"/>
      </w:pPr>
      <w:r>
        <w:rPr>
          <w:b/>
          <w:bCs/>
        </w:rPr>
        <w:t xml:space="preserve">Exercise 3 (A chord above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37"/>
    <w:bookmarkStart w:id="38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38"/>
    <w:bookmarkStart w:id="39" w:name="def-convex-function"/>
    <w:p>
      <w:pPr>
        <w:pStyle w:val="FirstParagraph"/>
      </w:pPr>
      <w:r>
        <w:rPr>
          <w:b/>
          <w:bCs/>
        </w:rPr>
        <w:t xml:space="preserve">Definition 7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39"/>
    <w:bookmarkStart w:id="40" w:name="rem-convex-chord-above-graph"/>
    <w:p>
      <w:pPr>
        <w:pStyle w:val="BodyText"/>
      </w:pPr>
      <w:r>
        <w:rPr>
          <w:i/>
          <w:iCs/>
        </w:rPr>
        <w:t xml:space="preserve">Remark 5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of the chord joining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above that point.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 graph.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40"/>
    <w:bookmarkStart w:id="41" w:name="exm-cubic-not-convex"/>
    <w:p>
      <w:pPr>
        <w:pStyle w:val="BodyText"/>
      </w:pPr>
      <w:r>
        <w:rPr>
          <w:b/>
          <w:bCs/>
        </w:rPr>
        <w:t xml:space="preserve">Example 1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41"/>
    <w:bookmarkStart w:id="42" w:name="exm-convex-local-global"/>
    <w:p>
      <w:pPr>
        <w:pStyle w:val="BodyText"/>
      </w:pPr>
      <w:r>
        <w:rPr>
          <w:b/>
          <w:bCs/>
        </w:rPr>
        <w:t xml:space="preserve">Example 2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42"/>
    <w:bookmarkStart w:id="43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End w:id="44"/>
    <w:bookmarkStart w:id="51" w:name="infimum-and-supremum"/>
    <w:p>
      <w:pPr>
        <w:pStyle w:val="Heading2"/>
      </w:pPr>
      <w:r>
        <w:t xml:space="preserve">6 Infimum and supremum</w:t>
      </w:r>
    </w:p>
    <w:bookmarkStart w:id="45" w:name="def-infimum"/>
    <w:p>
      <w:pPr>
        <w:pStyle w:val="FirstParagraph"/>
      </w:pPr>
      <w:r>
        <w:rPr>
          <w:b/>
          <w:bCs/>
        </w:rPr>
        <w:t xml:space="preserve">Definition 8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below,</w:t>
      </w:r>
      <w:r>
        <w:t xml:space="preserve"> </w:t>
      </w:r>
      <w:r>
        <w:t xml:space="preserve">meaning that some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5"/>
    <w:bookmarkStart w:id="46" w:name="rem-infimum-exists"/>
    <w:p>
      <w:pPr>
        <w:pStyle w:val="BodyText"/>
      </w:pPr>
      <w:r>
        <w:rPr>
          <w:i/>
          <w:iCs/>
        </w:rPr>
        <w:t xml:space="preserve">Remark 6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always exists:</w:t>
      </w:r>
      <w:r>
        <w:t xml:space="preserve"> </w:t>
      </w:r>
      <w:r>
        <w:t xml:space="preserve">that is the completeness (greatest-lower-bound) property of the real numbers</w:t>
      </w:r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6"/>
    <w:bookmarkStart w:id="47" w:name="exm-infimum"/>
    <w:p>
      <w:pPr>
        <w:pStyle w:val="BodyText"/>
      </w:pPr>
      <w:r>
        <w:rPr>
          <w:b/>
          <w:bCs/>
        </w:rPr>
        <w:t xml:space="preserve">Example 3 (Numerical examples of infimum)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7"/>
    <w:bookmarkStart w:id="48" w:name="def-supremum"/>
    <w:p>
      <w:pPr>
        <w:pStyle w:val="FirstParagraph"/>
      </w:pPr>
      <w:r>
        <w:rPr>
          <w:b/>
          <w:bCs/>
        </w:rPr>
        <w:t xml:space="preserve">Definition 9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above,</w:t>
      </w:r>
      <w:r>
        <w:t xml:space="preserve"> </w:t>
      </w:r>
      <w:r>
        <w:t xml:space="preserve">meaning that some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8"/>
    <w:bookmarkStart w:id="49" w:name="rem-supremum-exists"/>
    <w:p>
      <w:pPr>
        <w:pStyle w:val="BodyText"/>
      </w:pPr>
      <w:r>
        <w:rPr>
          <w:i/>
          <w:iCs/>
        </w:rPr>
        <w:t xml:space="preserve">Remark 7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exists:</w:t>
      </w:r>
      <w:r>
        <w:t xml:space="preserve"> </w:t>
      </w:r>
      <w:r>
        <w:t xml:space="preserve">that is the completeness (least-upper-bound) property of the real numbers</w:t>
      </w:r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sup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9"/>
    <w:bookmarkStart w:id="50" w:name="exm-supremum"/>
    <w:p>
      <w:pPr>
        <w:pStyle w:val="BodyText"/>
      </w:pPr>
      <w:r>
        <w:rPr>
          <w:b/>
          <w:bCs/>
        </w:rPr>
        <w:t xml:space="preserve">Example 4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50"/>
    <w:bookmarkEnd w:id="51"/>
    <w:bookmarkStart w:id="56" w:name="sums"/>
    <w:p>
      <w:pPr>
        <w:pStyle w:val="Heading2"/>
      </w:pPr>
      <w:r>
        <w:t xml:space="preserve">7 Sums</w:t>
      </w:r>
    </w:p>
    <w:bookmarkStart w:id="52" w:name="thm-add-ident"/>
    <w:p>
      <w:pPr>
        <w:pStyle w:val="FirstParagraph"/>
      </w:pPr>
      <w:r>
        <w:rPr>
          <w:b/>
          <w:bCs/>
        </w:rPr>
        <w:t xml:space="preserve">Theorem 8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2"/>
    <w:bookmarkStart w:id="53" w:name="thm-sum-symmetric"/>
    <w:p>
      <w:pPr>
        <w:pStyle w:val="FirstParagraph"/>
      </w:pPr>
      <w:r>
        <w:rPr>
          <w:b/>
          <w:bCs/>
        </w:rPr>
        <w:t xml:space="preserve">Theorem 9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53"/>
    <w:bookmarkStart w:id="54" w:name="thm-sum-assoc"/>
    <w:p>
      <w:pPr>
        <w:pStyle w:val="FirstParagraph"/>
      </w:pPr>
      <w:r>
        <w:rPr>
          <w:b/>
          <w:bCs/>
        </w:rPr>
        <w:t xml:space="preserve">Theorem 10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4"/>
    <w:bookmarkStart w:id="55" w:name="exm-sum-assoc"/>
    <w:p>
      <w:pPr>
        <w:pStyle w:val="FirstParagraph"/>
      </w:pPr>
      <w:r>
        <w:rPr>
          <w:b/>
          <w:bCs/>
        </w:rPr>
        <w:t xml:space="preserve">Example 5 (Grouping a sum two ways)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</w:p>
    <w:bookmarkEnd w:id="55"/>
    <w:bookmarkEnd w:id="56"/>
    <w:bookmarkStart w:id="60" w:name="products"/>
    <w:p>
      <w:pPr>
        <w:pStyle w:val="Heading2"/>
      </w:pPr>
      <w:r>
        <w:t xml:space="preserve">8 Products</w:t>
      </w:r>
    </w:p>
    <w:bookmarkStart w:id="57" w:name="thm-mult-one"/>
    <w:p>
      <w:pPr>
        <w:pStyle w:val="FirstParagraph"/>
      </w:pPr>
      <w:r>
        <w:rPr>
          <w:b/>
          <w:bCs/>
        </w:rPr>
        <w:t xml:space="preserve">Theorem 11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7"/>
    <w:bookmarkStart w:id="58" w:name="thm-prod-symmetric"/>
    <w:p>
      <w:pPr>
        <w:pStyle w:val="FirstParagraph"/>
      </w:pPr>
      <w:r>
        <w:rPr>
          <w:b/>
          <w:bCs/>
        </w:rPr>
        <w:t xml:space="preserve">Theorem 12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58"/>
    <w:bookmarkStart w:id="59" w:name="thm-prod-assoc"/>
    <w:p>
      <w:pPr>
        <w:pStyle w:val="FirstParagraph"/>
      </w:pPr>
      <w:r>
        <w:rPr>
          <w:b/>
          <w:bCs/>
        </w:rPr>
        <w:t xml:space="preserve">Theorem 13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9"/>
    <w:bookmarkEnd w:id="60"/>
    <w:bookmarkStart w:id="62" w:name="division"/>
    <w:p>
      <w:pPr>
        <w:pStyle w:val="Heading2"/>
      </w:pPr>
      <w:r>
        <w:t xml:space="preserve">9 Division</w:t>
      </w:r>
    </w:p>
    <w:bookmarkStart w:id="61" w:name="thm-prod-div"/>
    <w:p>
      <w:pPr>
        <w:pStyle w:val="FirstParagraph"/>
      </w:pPr>
      <w:r>
        <w:rPr>
          <w:b/>
          <w:bCs/>
        </w:rPr>
        <w:t xml:space="preserve">Theorem 14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1"/>
    <w:bookmarkEnd w:id="62"/>
    <w:bookmarkStart w:id="68" w:name="sums-and-products-together"/>
    <w:p>
      <w:pPr>
        <w:pStyle w:val="Heading2"/>
      </w:pPr>
      <w:r>
        <w:t xml:space="preserve">10 Sums and products together</w:t>
      </w:r>
    </w:p>
    <w:bookmarkStart w:id="63" w:name="thm-mult-distr"/>
    <w:p>
      <w:pPr>
        <w:pStyle w:val="FirstParagraph"/>
      </w:pPr>
      <w:r>
        <w:rPr>
          <w:b/>
          <w:bCs/>
        </w:rPr>
        <w:t xml:space="preserve">Theorem 15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63"/>
    <w:bookmarkStart w:id="64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64"/>
    <w:bookmarkStart w:id="65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</m:oMath>
      <w:r>
        <w:t xml:space="preserve">, while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</m:oMath>
      <w:r>
        <w:t xml:space="preserve">.</w:t>
      </w:r>
      <w:r>
        <w:t xml:space="preserve"> </w:t>
      </w: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15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to drop the parentheses.</w:t>
      </w:r>
    </w:p>
    <w:bookmarkEnd w:id="65"/>
    <w:bookmarkStart w:id="66" w:name="thm-square-of-a-sum"/>
    <w:p>
      <w:pPr>
        <w:pStyle w:val="BodyText"/>
      </w:pPr>
      <w:r>
        <w:rPr>
          <w:b/>
          <w:bCs/>
        </w:rPr>
        <w:t xml:space="preserve">Theorem 16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7" w:name="rem-square-of-a-difference"/>
    <w:p>
      <w:pPr>
        <w:pStyle w:val="BodyText"/>
      </w:pPr>
      <w:r>
        <w:rPr>
          <w:i/>
          <w:iCs/>
        </w:rPr>
        <w:t xml:space="preserve">Remark 8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Squared errors such as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expanded this way.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  <m:r>
          <m:rPr>
            <m:sty m:val="p"/>
          </m:rPr>
          <m:t>−</m:t>
        </m:r>
        <m:r>
          <m:t>30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67"/>
    <w:bookmarkEnd w:id="68"/>
    <w:bookmarkStart w:id="84" w:name="sec-summation"/>
    <w:p>
      <w:pPr>
        <w:pStyle w:val="Heading2"/>
      </w:pPr>
      <w:r>
        <w:t xml:space="preserve">11 Summation notation</w:t>
      </w:r>
    </w:p>
    <w:bookmarkStart w:id="69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09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69"/>
    <w:bookmarkStart w:id="70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70"/>
    <w:bookmarkStart w:id="71" w:name="def-summation"/>
    <w:p>
      <w:pPr>
        <w:pStyle w:val="FirstParagraph"/>
      </w:pPr>
      <w:r>
        <w:rPr>
          <w:b/>
          <w:bCs/>
        </w:rPr>
        <w:t xml:space="preserve">Definition 10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71"/>
    <w:bookmarkStart w:id="72" w:name="rem-summation-index"/>
    <w:p>
      <w:pPr>
        <w:pStyle w:val="BodyText"/>
      </w:pPr>
      <w:r>
        <w:rPr>
          <w:i/>
          <w:iCs/>
        </w:rPr>
        <w:t xml:space="preserve">Remark 9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j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72"/>
    <w:bookmarkStart w:id="73" w:name="def-empty-sum"/>
    <w:p>
      <w:pPr>
        <w:pStyle w:val="BodyText"/>
      </w:pPr>
      <w:r>
        <w:rPr>
          <w:b/>
          <w:bCs/>
        </w:rPr>
        <w:t xml:space="preserve">Definition 11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3"/>
    <w:bookmarkStart w:id="74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1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e>
        </m:nary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74"/>
    <w:bookmarkStart w:id="75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numPr>
          <w:ilvl w:val="0"/>
          <w:numId w:val="1012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75"/>
    <w:bookmarkStart w:id="76" w:name="thm-sum-constant-factor"/>
    <w:p>
      <w:pPr>
        <w:pStyle w:val="BodyText"/>
      </w:pPr>
      <w:r>
        <w:rPr>
          <w:b/>
          <w:bCs/>
        </w:rPr>
        <w:t xml:space="preserve">Theorem 17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77" w:name="thm-sum-of-sums"/>
    <w:p>
      <w:pPr>
        <w:pStyle w:val="BodyText"/>
      </w:pPr>
      <w:r>
        <w:rPr>
          <w:b/>
          <w:bCs/>
        </w:rPr>
        <w:t xml:space="preserve">Theorem 18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78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3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78"/>
    <w:bookmarkStart w:id="79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79"/>
    <w:bookmarkStart w:id="81" w:name="def-sum-over-set"/>
    <w:p>
      <w:pPr>
        <w:pStyle w:val="FirstParagraph"/>
      </w:pPr>
      <w:r>
        <w:rPr>
          <w:b/>
          <w:bCs/>
        </w:rPr>
        <w:t xml:space="preserve">Definition 12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 finite</w:t>
      </w:r>
      <w:r>
        <w:t xml:space="preserve"> </w:t>
      </w:r>
      <w:hyperlink r:id="rId8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1"/>
    <w:bookmarkStart w:id="82" w:name="rem-sum-over-set-order"/>
    <w:p>
      <w:pPr>
        <w:pStyle w:val="BodyText"/>
      </w:pPr>
      <w:r>
        <w:rPr>
          <w:i/>
          <w:iCs/>
        </w:rPr>
        <w:t xml:space="preserve">Remark 10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End w:id="82"/>
    <w:bookmarkStart w:id="83" w:name="rem-sum-without-set"/>
    <w:p>
      <w:pPr>
        <w:pStyle w:val="BodyText"/>
      </w:pPr>
      <w:r>
        <w:rPr>
          <w:i/>
          <w:iCs/>
        </w:rPr>
        <w:t xml:space="preserve">Remark 11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full.</w:t>
      </w:r>
    </w:p>
    <w:bookmarkEnd w:id="83"/>
    <w:bookmarkEnd w:id="84"/>
    <w:bookmarkStart w:id="98" w:name="quotients"/>
    <w:p>
      <w:pPr>
        <w:pStyle w:val="Heading2"/>
      </w:pPr>
      <w:r>
        <w:t xml:space="preserve">12 Quotients</w:t>
      </w:r>
    </w:p>
    <w:bookmarkStart w:id="85" w:name="def-quotient"/>
    <w:p>
      <w:pPr>
        <w:pStyle w:val="FirstParagraph"/>
      </w:pPr>
      <w:r>
        <w:rPr>
          <w:b/>
          <w:bCs/>
        </w:rPr>
        <w:t xml:space="preserve">Definition 13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85"/>
    <w:bookmarkStart w:id="86" w:name="def-fraction"/>
    <w:p>
      <w:pPr>
        <w:pStyle w:val="FirstParagraph"/>
      </w:pPr>
      <w:r>
        <w:rPr>
          <w:b/>
          <w:bCs/>
        </w:rPr>
        <w:t xml:space="preserve">Definition 14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13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86"/>
    <w:bookmarkStart w:id="87" w:name="exm-quotient"/>
    <w:p>
      <w:pPr>
        <w:pStyle w:val="BodyText"/>
      </w:pPr>
      <w:r>
        <w:rPr>
          <w:b/>
          <w:bCs/>
        </w:rPr>
        <w:t xml:space="preserve">Example 6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requires a nonzero denominator.</w:t>
      </w:r>
    </w:p>
    <w:bookmarkEnd w:id="87"/>
    <w:bookmarkStart w:id="88" w:name="def-rate"/>
    <w:p>
      <w:pPr>
        <w:pStyle w:val="BodyText"/>
      </w:pPr>
      <w:r>
        <w:rPr>
          <w:b/>
          <w:bCs/>
        </w:rPr>
        <w:t xml:space="preserve">Definition 15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88"/>
    <w:p>
      <w:pPr>
        <w:pStyle w:val="BodyText"/>
      </w:pPr>
      <w:r>
        <w:t xml:space="preserve">cf. </w:t>
      </w:r>
      <w:hyperlink r:id="rId89">
        <w:r>
          <w:rPr>
            <w:rStyle w:val="Hyperlink"/>
          </w:rPr>
          <w:t xml:space="preserve">https://en.wikipedia.org/wiki/Rate_(mathematics)</w:t>
        </w:r>
      </w:hyperlink>
    </w:p>
    <w:bookmarkStart w:id="91" w:name="def-ratio"/>
    <w:p>
      <w:pPr>
        <w:pStyle w:val="BodyText"/>
      </w:pPr>
      <w:r>
        <w:rPr>
          <w:b/>
          <w:bCs/>
        </w:rPr>
        <w:t xml:space="preserve">Definition 16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90">
        <w:r>
          <w:rPr>
            <w:rStyle w:val="Hyperlink"/>
          </w:rPr>
          <w:t xml:space="preserve">https://en.wikipedia.org/wiki/Ratio</w:t>
        </w:r>
      </w:hyperlink>
    </w:p>
    <w:bookmarkEnd w:id="91"/>
    <w:bookmarkStart w:id="94" w:name="def-proportion"/>
    <w:p>
      <w:pPr>
        <w:pStyle w:val="BodyText"/>
      </w:pPr>
      <w:r>
        <w:rPr>
          <w:b/>
          <w:bCs/>
        </w:rPr>
        <w:t xml:space="preserve">Definition 17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92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93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94"/>
    <w:bookmarkStart w:id="96" w:name="def-proportional"/>
    <w:p>
      <w:pPr>
        <w:pStyle w:val="BodyText"/>
      </w:pPr>
      <w:r>
        <w:rPr>
          <w:b/>
          <w:bCs/>
        </w:rPr>
        <w:t xml:space="preserve">Definition 18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95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96"/>
    <w:p>
      <w:pPr>
        <w:pStyle w:val="BodyText"/>
      </w:pPr>
      <w:r>
        <w:t xml:space="preserve">Additional reference for elementary algebra: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98"/>
    <w:bookmarkStart w:id="107" w:name="sec-polynomials"/>
    <w:p>
      <w:pPr>
        <w:pStyle w:val="Heading2"/>
      </w:pPr>
      <w:r>
        <w:t xml:space="preserve">13 Polynomials</w:t>
      </w:r>
    </w:p>
    <w:bookmarkStart w:id="99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9"/>
    <w:bookmarkStart w:id="100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1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0"/>
    <w:bookmarkStart w:id="101" w:name="def-polynomial"/>
    <w:p>
      <w:pPr>
        <w:pStyle w:val="FirstParagraph"/>
      </w:pPr>
      <w:r>
        <w:rPr>
          <w:b/>
          <w:bCs/>
        </w:rPr>
        <w:t xml:space="preserve">Definition 19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101"/>
    <w:bookmarkStart w:id="102" w:name="rem-polynomial-nonzero"/>
    <w:p>
      <w:pPr>
        <w:pStyle w:val="BodyText"/>
      </w:pPr>
      <w:r>
        <w:rPr>
          <w:i/>
          <w:iCs/>
        </w:rPr>
        <w:t xml:space="preserve">Remark 12</w:t>
      </w:r>
      <w:r>
        <w:t xml:space="preserve"> (Constant and zero polynomials). </w:t>
      </w: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02"/>
    <w:bookmarkStart w:id="103" w:name="def-polynomial-degree"/>
    <w:p>
      <w:pPr>
        <w:pStyle w:val="BodyText"/>
      </w:pPr>
      <w:r>
        <w:rPr>
          <w:b/>
          <w:bCs/>
        </w:rPr>
        <w:t xml:space="preserve">Definition 20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03"/>
    <w:bookmarkStart w:id="104" w:name="exm-polynomial-degree"/>
    <w:p>
      <w:pPr>
        <w:pStyle w:val="BodyText"/>
      </w:pPr>
      <w:r>
        <w:rPr>
          <w:b/>
          <w:bCs/>
        </w:rPr>
        <w:t xml:space="preserve">Example 7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17"/>
        </w:numPr>
      </w:pPr>
      <w:r>
        <w:t xml:space="preserve">A constant 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04"/>
    <w:bookmarkStart w:id="105" w:name="def-polynomial-leading-coefficient"/>
    <w:p>
      <w:pPr>
        <w:pStyle w:val="FirstParagraph"/>
      </w:pPr>
      <w:r>
        <w:rPr>
          <w:b/>
          <w:bCs/>
        </w:rPr>
        <w:t xml:space="preserve">Definition 21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05"/>
    <w:bookmarkStart w:id="106" w:name="exm-leading-coefficient"/>
    <w:p>
      <w:pPr>
        <w:pStyle w:val="BodyText"/>
      </w:pPr>
      <w:r>
        <w:rPr>
          <w:b/>
          <w:bCs/>
        </w:rPr>
        <w:t xml:space="preserve">Example 8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1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06"/>
    <w:bookmarkEnd w:id="107"/>
    <w:bookmarkStart w:id="128" w:name="exponentials-and-logarithms"/>
    <w:p>
      <w:pPr>
        <w:pStyle w:val="Heading2"/>
      </w:pPr>
      <w:r>
        <w:t xml:space="preserve">14 Exponentials and Logarithms</w:t>
      </w:r>
    </w:p>
    <w:p>
      <w:pPr>
        <w:pStyle w:val="FirstParagraph"/>
      </w:pP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natural logarithm of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2.718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the exponential function.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base 10.</w:t>
      </w:r>
    </w:p>
    <w:bookmarkStart w:id="108" w:name="thm-exp-log-inverse"/>
    <w:p>
      <w:pPr>
        <w:pStyle w:val="BodyText"/>
      </w:pPr>
      <w:r>
        <w:rPr>
          <w:b/>
          <w:bCs/>
        </w:rPr>
        <w:t xml:space="preserve">Theorem 19 (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108"/>
    <w:bookmarkStart w:id="109" w:name="thm-log-prod"/>
    <w:p>
      <w:pPr>
        <w:pStyle w:val="FirstParagraph"/>
      </w:pPr>
      <w:r>
        <w:rPr>
          <w:b/>
          <w:bCs/>
        </w:rPr>
        <w:t xml:space="preserve">Theorem 20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09"/>
    <w:bookmarkStart w:id="110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111" w:name="thm-log-exp"/>
    <w:p>
      <w:pPr>
        <w:pStyle w:val="BodyText"/>
      </w:pPr>
      <w:r>
        <w:rPr>
          <w:b/>
          <w:bCs/>
        </w:rPr>
        <w:t xml:space="preserve">Theorem 21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111"/>
    <w:bookmarkStart w:id="112" w:name="thm-exp-sum"/>
    <w:p>
      <w:pPr>
        <w:pStyle w:val="FirstParagraph"/>
      </w:pPr>
      <w:r>
        <w:rPr>
          <w:b/>
          <w:bCs/>
        </w:rPr>
        <w:t xml:space="preserve">Theorem 22 (exponential of a sum)</w:t>
      </w:r>
      <w:r>
        <w:t xml:space="preserve"> </w:t>
      </w:r>
      <w:r>
        <w:t xml:space="preserve">The exponential of a sum is equal to the product of the exponentials of the addends: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12"/>
    <w:bookmarkStart w:id="113" w:name="exm-exp-sum"/>
    <w:p>
      <w:pPr>
        <w:pStyle w:val="FirstParagraph"/>
      </w:pPr>
      <w:r>
        <w:rPr>
          <w:b/>
          <w:bCs/>
        </w:rPr>
        <w:t xml:space="preserve">Example 9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113"/>
    <w:bookmarkStart w:id="114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114"/>
    <w:bookmarkStart w:id="115" w:name="exm-exp-difference"/>
    <w:p>
      <w:pPr>
        <w:pStyle w:val="FirstParagraph"/>
      </w:pPr>
      <w:r>
        <w:rPr>
          <w:b/>
          <w:bCs/>
        </w:rPr>
        <w:t xml:space="preserve">Example 10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115"/>
    <w:bookmarkStart w:id="116" w:name="thm-double-exp"/>
    <w:p>
      <w:pPr>
        <w:pStyle w:val="BodyText"/>
      </w:pPr>
      <w:r>
        <w:rPr>
          <w:b/>
          <w:bCs/>
        </w:rPr>
        <w:t xml:space="preserve">Theorem 23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b</m:t>
              </m:r>
            </m:sup>
          </m:sSup>
        </m:oMath>
      </m:oMathPara>
    </w:p>
    <w:bookmarkEnd w:id="116"/>
    <w:bookmarkStart w:id="117" w:name="exm-double-exp-negative-base"/>
    <w:p>
      <w:pPr>
        <w:pStyle w:val="FirstParagraph"/>
      </w:pPr>
      <w:r>
        <w:rPr>
          <w:b/>
          <w:bCs/>
        </w:rPr>
        <w:t xml:space="preserve">Example 11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117"/>
    <w:bookmarkStart w:id="118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a</m:t>
              </m:r>
            </m:sup>
          </m:sSup>
        </m:oMath>
      </m:oMathPara>
    </w:p>
    <w:bookmarkEnd w:id="118"/>
    <w:bookmarkStart w:id="119" w:name="exr-exp-vs-mult"/>
    <w:p>
      <w:pPr>
        <w:pStyle w:val="FirstParagraph"/>
      </w:pPr>
      <w:r>
        <w:rPr>
          <w:b/>
          <w:bCs/>
        </w:rPr>
        <w:t xml:space="preserve">Exercise 9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119"/>
    <w:bookmarkStart w:id="122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a real number,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(R agrees: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pStyle w:val="Compact"/>
        <w:numPr>
          <w:ilvl w:val="0"/>
          <w:numId w:val="102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pStyle w:val="Compact"/>
        <w:numPr>
          <w:ilvl w:val="0"/>
          <w:numId w:val="102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1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 Red contour lines 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121"/>
        </w:tc>
      </w:tr>
    </w:tbl>
    <w:bookmarkEnd w:id="122"/>
    <w:bookmarkStart w:id="123" w:name="exr-double-exponential"/>
    <w:p>
      <w:pPr>
        <w:pStyle w:val="BodyText"/>
      </w:pPr>
      <w:r>
        <w:rPr>
          <w:b/>
          <w:bCs/>
        </w:rPr>
        <w:t xml:space="preserve">Exercise 10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23"/>
    <w:bookmarkStart w:id="125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21</w:t>
        </w:r>
      </w:hyperlink>
      <w:r>
        <w:t xml:space="preserve">):</w:t>
      </w:r>
    </w:p>
    <w:p>
      <w:pPr>
        <w:pStyle w:val="BodyText"/>
      </w:pPr>
      <w:bookmarkStart w:id="124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4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21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21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pStyle w:val="Compact"/>
        <w:numPr>
          <w:ilvl w:val="0"/>
          <w:numId w:val="102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0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0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5"/>
    <w:bookmarkStart w:id="127" w:name="refs"/>
    <w:bookmarkStart w:id="12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26"/>
    <w:bookmarkEnd w:id="127"/>
    <w:bookmarkEnd w:id="1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92" Target="https://en.wikipedia.org/wiki/Population_proportion" TargetMode="External" /><Relationship Type="http://schemas.openxmlformats.org/officeDocument/2006/relationships/hyperlink" Id="rId97" Target="https://en.wikipedia.org/wiki/Population_proportion#Mathematical_definition" TargetMode="External" /><Relationship Type="http://schemas.openxmlformats.org/officeDocument/2006/relationships/hyperlink" Id="rId93" Target="https://en.wikipedia.org/wiki/Proportion_(mathematics)" TargetMode="External" /><Relationship Type="http://schemas.openxmlformats.org/officeDocument/2006/relationships/hyperlink" Id="rId95" Target="https://en.wikipedia.org/wiki/Proportionality_(mathematics)" TargetMode="External" /><Relationship Type="http://schemas.openxmlformats.org/officeDocument/2006/relationships/hyperlink" Id="rId89" Target="https://en.wikipedia.org/wiki/Rate_(mathematics)" TargetMode="External" /><Relationship Type="http://schemas.openxmlformats.org/officeDocument/2006/relationships/hyperlink" Id="rId90" Target="https://en.wikipedia.org/wiki/Ratio" TargetMode="External" /><Relationship Type="http://schemas.openxmlformats.org/officeDocument/2006/relationships/hyperlink" Id="rId33" Target="linear-algebra.qmd#def-euclidean-norm" TargetMode="External" /><Relationship Type="http://schemas.openxmlformats.org/officeDocument/2006/relationships/hyperlink" Id="rId23" Target="sets-functions.qmd#def-function" TargetMode="External" /><Relationship Type="http://schemas.openxmlformats.org/officeDocument/2006/relationships/hyperlink" Id="rId25" Target="sets-functions.qmd#def-image" TargetMode="External" /><Relationship Type="http://schemas.openxmlformats.org/officeDocument/2006/relationships/hyperlink" Id="rId80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92" Target="https://en.wikipedia.org/wiki/Population_proportion" TargetMode="External" /><Relationship Type="http://schemas.openxmlformats.org/officeDocument/2006/relationships/hyperlink" Id="rId97" Target="https://en.wikipedia.org/wiki/Population_proportion#Mathematical_definition" TargetMode="External" /><Relationship Type="http://schemas.openxmlformats.org/officeDocument/2006/relationships/hyperlink" Id="rId93" Target="https://en.wikipedia.org/wiki/Proportion_(mathematics)" TargetMode="External" /><Relationship Type="http://schemas.openxmlformats.org/officeDocument/2006/relationships/hyperlink" Id="rId95" Target="https://en.wikipedia.org/wiki/Proportionality_(mathematics)" TargetMode="External" /><Relationship Type="http://schemas.openxmlformats.org/officeDocument/2006/relationships/hyperlink" Id="rId89" Target="https://en.wikipedia.org/wiki/Rate_(mathematics)" TargetMode="External" /><Relationship Type="http://schemas.openxmlformats.org/officeDocument/2006/relationships/hyperlink" Id="rId90" Target="https://en.wikipedia.org/wiki/Ratio" TargetMode="External" /><Relationship Type="http://schemas.openxmlformats.org/officeDocument/2006/relationships/hyperlink" Id="rId33" Target="linear-algebra.qmd#def-euclidean-norm" TargetMode="External" /><Relationship Type="http://schemas.openxmlformats.org/officeDocument/2006/relationships/hyperlink" Id="rId23" Target="sets-functions.qmd#def-function" TargetMode="External" /><Relationship Type="http://schemas.openxmlformats.org/officeDocument/2006/relationships/hyperlink" Id="rId25" Target="sets-functions.qmd#def-image" TargetMode="External" /><Relationship Type="http://schemas.openxmlformats.org/officeDocument/2006/relationships/hyperlink" Id="rId80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2026-10-03T09:59:24Z</dcterms:created>
  <dcterms:modified xsi:type="dcterms:W3CDTF">2026-10-03T09:59:24Z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2026-10-03 02:55:01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