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Growth Rates</w:t>
      </w:r>
    </w:p>
    <w:p>
      <w:pPr>
        <w:pStyle w:val="Date"/>
      </w:pPr>
      <w:r>
        <w:t xml:space="preserve">Last modified: 2026-10-31 15:22:31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running time of an</w:t>
      </w:r>
      <w:r>
        <w:t xml:space="preserve"> </w:t>
      </w:r>
      <w:hyperlink r:id="rId9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</w:t>
      </w:r>
      <w:r>
        <w:t xml:space="preserve"> </w:t>
      </w:r>
      <w:hyperlink r:id="rId11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To compare running times, we ignore fixed factors and small inputs.</w:t>
      </w:r>
      <w:r>
        <w:t xml:space="preserve"> </w:t>
      </w:r>
      <w:r>
        <w:t xml:space="preserve">This page defines the notation for that comparison.</w:t>
      </w:r>
    </w:p>
    <w:bookmarkStart w:id="20" w:name="upper-bounds"/>
    <w:p>
      <w:pPr>
        <w:pStyle w:val="Heading2"/>
      </w:pPr>
      <w:r>
        <w:t xml:space="preserve">1 Upper bounds</w:t>
      </w:r>
    </w:p>
    <w:bookmarkStart w:id="17" w:name="def-big-o"/>
    <w:p>
      <w:pPr>
        <w:pStyle w:val="FirstParagraph"/>
      </w:pPr>
      <w:r>
        <w:rPr>
          <w:b/>
          <w:bCs/>
        </w:rPr>
        <w:t xml:space="preserve">Definition 1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15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16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17"/>
    <w:bookmarkStart w:id="19" w:name="exm-big-o"/>
    <w:p>
      <w:pPr>
        <w:pStyle w:val="BodyText"/>
      </w:pPr>
      <w:r>
        <w:rPr>
          <w:b/>
          <w:bCs/>
        </w:rPr>
        <w:t xml:space="preserve">Example 1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9"/>
    <w:bookmarkEnd w:id="20"/>
    <w:bookmarkStart w:id="23" w:name="lower-bounds"/>
    <w:p>
      <w:pPr>
        <w:pStyle w:val="Heading2"/>
      </w:pPr>
      <w:r>
        <w:t xml:space="preserve">2 Lower bounds</w:t>
      </w:r>
    </w:p>
    <w:bookmarkStart w:id="21" w:name="def-big-omega"/>
    <w:p>
      <w:pPr>
        <w:pStyle w:val="FirstParagraph"/>
      </w:pPr>
      <w:r>
        <w:rPr>
          <w:b/>
          <w:bCs/>
        </w:rPr>
        <w:t xml:space="preserve">Definition 2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21"/>
    <w:bookmarkStart w:id="22" w:name="exm-big-omega"/>
    <w:p>
      <w:pPr>
        <w:pStyle w:val="BodyText"/>
      </w:pPr>
      <w:r>
        <w:rPr>
          <w:b/>
          <w:bCs/>
        </w:rPr>
        <w:t xml:space="preserve">Example 2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big-Omega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End w:id="23"/>
    <w:bookmarkStart w:id="26" w:name="matching-bounds"/>
    <w:p>
      <w:pPr>
        <w:pStyle w:val="Heading2"/>
      </w:pPr>
      <w:r>
        <w:t xml:space="preserve">3 Matching bounds</w:t>
      </w:r>
    </w:p>
    <w:bookmarkStart w:id="24" w:name="def-big-theta"/>
    <w:p>
      <w:pPr>
        <w:pStyle w:val="FirstParagraph"/>
      </w:pPr>
      <w:r>
        <w:rPr>
          <w:b/>
          <w:bCs/>
        </w:rPr>
        <w:t xml:space="preserve">Definition 3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24"/>
    <w:bookmarkStart w:id="25" w:name="exm-big-theta"/>
    <w:p>
      <w:pPr>
        <w:pStyle w:val="BodyText"/>
      </w:pPr>
      <w:r>
        <w:rPr>
          <w:b/>
          <w:bCs/>
        </w:rPr>
        <w:t xml:space="preserve">Example 3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big-Theta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big-o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and by</w:t>
      </w:r>
      <w:r>
        <w:t xml:space="preserve"> </w:t>
      </w:r>
      <w:hyperlink w:anchor="exm-big-omega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25"/>
    <w:bookmarkEnd w:id="26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wikipedia_big_o_not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“Big</w:t>
      </w:r>
      <w:r>
        <w:t xml:space="preserve"> </w:t>
      </w:r>
      <w:r>
        <w:t xml:space="preserve">O</w:t>
      </w:r>
      <w:r>
        <w:t xml:space="preserve"> </w:t>
      </w:r>
      <w:r>
        <w:t xml:space="preserve">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https://en.wikipedia.org/wiki/Big_O_notation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 Rates</dc:title>
  <dc:creator/>
  <cp:keywords/>
  <dcterms:created xsi:type="dcterms:W3CDTF">2026-10-31T23:13:13Z</dcterms:created>
  <dcterms:modified xsi:type="dcterms:W3CDTF">2026-10-31T23:13:13Z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15:22:31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