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Notation</w:t>
      </w:r>
    </w:p>
    <w:p>
      <w:pPr>
        <w:pStyle w:val="Date"/>
      </w:pPr>
      <w:r>
        <w:t xml:space="preserve">Last modified: 2026-10-05 21:21:41 (PDT)</w:t>
      </w:r>
    </w:p>
    <w:p>
      <w:pPr>
        <w:pStyle w:val="FirstParagraph"/>
      </w:pPr>
      <w:r>
        <w:t xml:space="preserve">Mathematical notation is not standardized.</w:t>
      </w:r>
      <w:r>
        <w:t xml:space="preserve"> </w:t>
      </w:r>
      <w:r>
        <w:t xml:space="preserve">This section states the conventions these notes use,</w:t>
      </w:r>
      <w:r>
        <w:t xml:space="preserve"> </w:t>
      </w:r>
      <w:r>
        <w:t xml:space="preserve">and the alternatives you may meet in other sources.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" w:name="tbl-notation-collecte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Notation used in this book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391"/>
              <w:gridCol w:w="5351"/>
              <w:gridCol w:w="1177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symbol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meaning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LaTeX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¬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not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\neg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∀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all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\forall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∃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some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\exists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∪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union,</w:t>
                  </w:r>
                  <w:r>
                    <w:t xml:space="preserve"> </w:t>
                  </w:r>
                  <w:r>
                    <w:t xml:space="preserve">“or”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\cup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∩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intersection,</w:t>
                  </w:r>
                  <w:r>
                    <w:t xml:space="preserve"> </w:t>
                  </w:r>
                  <w:r>
                    <w:t xml:space="preserve">“and”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\cap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∣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given, conditional 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\mid</w:t>
                  </w:r>
                  <w:r>
                    <w:t xml:space="preserve">,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|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∑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9">
                    <w:r>
                      <w:rPr>
                        <w:rStyle w:val="Hyperlink"/>
                      </w:rPr>
                      <w:t xml:space="preserve">sum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\sum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∏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product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\prod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μ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mean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\mu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E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0">
                    <w:r>
                      <w:rPr>
                        <w:rStyle w:val="Hyperlink"/>
                      </w:rPr>
                      <w:t xml:space="preserve">expectation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\mathbb{E}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transpose of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x^{\top}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′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transpose or</w:t>
                  </w:r>
                  <w:r>
                    <w:t xml:space="preserve"> </w:t>
                  </w:r>
                  <w:hyperlink r:id="rId11">
                    <w:r>
                      <w:rPr>
                        <w:rStyle w:val="Hyperlink"/>
                      </w:rPr>
                      <w:t xml:space="preserve">derivative</w:t>
                    </w:r>
                  </w:hyperlink>
                  <w:r>
                    <w:rPr>
                      <w:rStyle w:val="FootnoteReference"/>
                    </w:rPr>
                    <w:footnoteReference w:id="12"/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'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3">
                    <w:r>
                      <w:rPr>
                        <w:rStyle w:val="Hyperlink"/>
                      </w:rPr>
                      <w:t xml:space="preserve">independent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\perp\!\!\!\perp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∴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therefore, thus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\therefore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η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4">
                    <w:r>
                      <w:rPr>
                        <w:rStyle w:val="Hyperlink"/>
                      </w:rPr>
                      <w:t xml:space="preserve">linear component of a GLM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\eta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​</m:t>
                    </m:r>
                    <m:d>
                      <m:dPr>
                        <m:begChr m:val="⌊"/>
                        <m:sepChr m:val=""/>
                        <m:endChr m:val="⌋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floor of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: largest</w:t>
                  </w:r>
                  <w:r>
                    <w:t xml:space="preserve"> </w:t>
                  </w:r>
                  <w:hyperlink w:anchor="def-integers">
                    <w:r>
                      <w:rPr>
                        <w:rStyle w:val="Hyperlink"/>
                      </w:rPr>
                      <w:t xml:space="preserve">integer</w:t>
                    </w:r>
                  </w:hyperlink>
                  <w:r>
                    <w:t xml:space="preserve"> </w:t>
                  </w:r>
                  <w:r>
                    <w:t xml:space="preserve">less than or equal to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\lfloor x \rfloor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​</m:t>
                    </m:r>
                    <m:d>
                      <m:dPr>
                        <m:begChr m:val="⌈"/>
                        <m:sepChr m:val=""/>
                        <m:endChr m:val="⌉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ceiling of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: smallest integer greater than or equal to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\lceil x \rceil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rPr>
                            <m:scr m:val="double-struck"/>
                            <m:sty m:val="p"/>
                          </m:rPr>
                          <m:t>1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cr m:val="double-struck"/>
                        <m:sty m:val="p"/>
                      </m:rPr>
                      <m:t>1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P</m:t>
                        </m:r>
                      </m:e>
                    </m:d>
                    <m:r>
                      <m:t>​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indicator function (</w:t>
                  </w:r>
                  <w:hyperlink w:anchor="sec-indicator-functions">
                    <w:r>
                      <w:rPr>
                        <w:rStyle w:val="Hyperlink"/>
                      </w:rPr>
                      <w:t xml:space="preserve">Section 6</w:t>
                    </w:r>
                  </w:hyperlink>
                  <w:r>
                    <w:t xml:space="preserve">):</w:t>
                  </w:r>
                  <w:r>
                    <w:t xml:space="preserve"> </w:t>
                  </w:r>
                  <m:oMath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if condition holds,</w:t>
                  </w:r>
                  <w:r>
                    <w:t xml:space="preserve"> </w:t>
                  </w:r>
                  <m:oMath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otherwise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\indic{A}(x)</w:t>
                  </w:r>
                  <w:r>
                    <w:t xml:space="preserve">,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\indicp{P}</w:t>
                  </w:r>
                </w:p>
              </w:tc>
            </w:tr>
          </w:tbl>
          <w:bookmarkEnd w:id="15"/>
          <w:p/>
        </w:tc>
      </w:tr>
    </w:tbl>
    <w:bookmarkStart w:id="17" w:name="sec-writing-math-quarto"/>
    <w:p>
      <w:pPr>
        <w:pStyle w:val="Heading2"/>
      </w:pPr>
      <w:r>
        <w:t xml:space="preserve">1 Writing math in Quarto</w:t>
      </w:r>
    </w:p>
    <w:p>
      <w:pPr>
        <w:pStyle w:val="FirstParagraph"/>
      </w:pPr>
      <w:r>
        <w:t xml:space="preserve">The third column of</w:t>
      </w:r>
      <w:r>
        <w:t xml:space="preserve"> </w:t>
      </w:r>
      <w:hyperlink w:anchor="tbl-notation-collected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gives the LaTeX command for each symbol.</w:t>
      </w:r>
      <w:r>
        <w:t xml:space="preserve"> </w:t>
      </w:r>
      <w:r>
        <w:t xml:space="preserve">Quarto and R Markdown documents write math in LaTeX syntax:</w:t>
      </w:r>
      <w:r>
        <w:t xml:space="preserve"> </w:t>
      </w:r>
      <w:r>
        <w:t xml:space="preserve">put inline math between single dollar signs, as in</w:t>
      </w:r>
      <w:r>
        <w:t xml:space="preserve"> </w:t>
      </w:r>
      <w:r>
        <w:rPr>
          <w:rStyle w:val="VerbatimChar"/>
        </w:rPr>
        <w:t xml:space="preserve">$x^2$</w:t>
      </w:r>
      <w:r>
        <w:t xml:space="preserve">,</w:t>
      </w:r>
      <w:r>
        <w:t xml:space="preserve"> </w:t>
      </w:r>
      <w:r>
        <w:t xml:space="preserve">and displayed equations between double dollar signs, as in</w:t>
      </w:r>
      <w:r>
        <w:t xml:space="preserve"> </w:t>
      </w:r>
      <w:r>
        <w:rPr>
          <w:rStyle w:val="VerbatimChar"/>
        </w:rPr>
        <w:t xml:space="preserve">$$x^2$$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16">
        <w:r>
          <w:rPr>
            <w:rStyle w:val="Hyperlink"/>
          </w:rPr>
          <w:t xml:space="preserve">equations section of Quarto’s Markdown guide</w:t>
        </w:r>
      </w:hyperlink>
      <w:r>
        <w:t xml:space="preserve"> </w:t>
      </w:r>
      <w:r>
        <w:t xml:space="preserve">shows the details.</w:t>
      </w:r>
      <w:r>
        <w:t xml:space="preserve"> </w:t>
      </w:r>
      <w:r>
        <w:t xml:space="preserve">These notes also use shorthand macros,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\floor{x}</w:t>
      </w:r>
      <w:r>
        <w:t xml:space="preserve"> </w:t>
      </w:r>
      <w:r>
        <w:t xml:space="preserve">for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defined in the</w:t>
      </w:r>
      <w:r>
        <w:t xml:space="preserve"> </w:t>
      </w:r>
      <w:r>
        <w:rPr>
          <w:rStyle w:val="VerbatimChar"/>
        </w:rPr>
        <w:t xml:space="preserve">latex-macros</w:t>
      </w:r>
      <w:r>
        <w:t xml:space="preserve"> </w:t>
      </w:r>
      <w:r>
        <w:t xml:space="preserve">submodule’s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.</w:t>
      </w:r>
    </w:p>
    <w:bookmarkEnd w:id="17"/>
    <w:bookmarkStart w:id="31" w:name="sec-notation-naturals"/>
    <w:p>
      <w:pPr>
        <w:pStyle w:val="Heading2"/>
      </w:pPr>
      <w:r>
        <w:t xml:space="preserve">2 Natural numbers</w:t>
      </w:r>
    </w:p>
    <w:bookmarkStart w:id="18" w:name="exr-naturals-below-three"/>
    <w:p>
      <w:pPr>
        <w:pStyle w:val="FirstParagraph"/>
      </w:pPr>
      <w:r>
        <w:rPr>
          <w:b/>
          <w:bCs/>
        </w:rPr>
        <w:t xml:space="preserve">Exercise 1 (Which numbers are natural?)</w:t>
      </w:r>
      <w:r>
        <w:t xml:space="preserve"> </w:t>
      </w:r>
      <w:r>
        <w:t xml:space="preserve">List the elements of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n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N</m:t>
            </m:r>
            <m:r>
              <m:rPr>
                <m:sty m:val="p"/>
              </m:rPr>
              <m:t>:</m:t>
            </m:r>
            <m:r>
              <m:t>n</m:t>
            </m:r>
            <m:r>
              <m:rPr>
                <m:sty m:val="p"/>
              </m:rPr>
              <m:t>&lt;</m:t>
            </m:r>
            <m:r>
              <m:t>3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Is your answer the same in every textbook?</w:t>
      </w:r>
    </w:p>
    <w:bookmarkEnd w:id="18"/>
    <w:bookmarkStart w:id="19" w:name="sol-naturals-below-three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The answer depends on whether the source counts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as a natural number:</w:t>
      </w:r>
    </w:p>
    <w:p>
      <w:pPr>
        <w:pStyle w:val="Compact"/>
        <w:numPr>
          <w:ilvl w:val="0"/>
          <w:numId w:val="1001"/>
        </w:numPr>
      </w:pPr>
      <w:r>
        <w:t xml:space="preserve">if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 </w:t>
      </w:r>
      <w:r>
        <w:t xml:space="preserve">starts at</w:t>
      </w:r>
      <w:r>
        <w:t xml:space="preserve"> </w:t>
      </w:r>
      <m:oMath>
        <m:r>
          <m:t>0</m:t>
        </m:r>
      </m:oMath>
      <w:r>
        <w:t xml:space="preserve">, the set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if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 </w:t>
      </w:r>
      <w:r>
        <w:t xml:space="preserve">starts at</w:t>
      </w:r>
      <w:r>
        <w:t xml:space="preserve"> </w:t>
      </w:r>
      <m:oMath>
        <m:r>
          <m:t>1</m:t>
        </m:r>
      </m:oMath>
      <w:r>
        <w:t xml:space="preserve">, the set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Both conventions are in common use,</w:t>
      </w:r>
      <w:r>
        <w:t xml:space="preserve"> </w:t>
      </w:r>
      <w:r>
        <w:t xml:space="preserve">so the answer is not the same in every textbook.</w:t>
      </w:r>
    </w:p>
    <w:bookmarkEnd w:id="19"/>
    <w:bookmarkStart w:id="20" w:name="def-integers"/>
    <w:p>
      <w:pPr>
        <w:pStyle w:val="BodyText"/>
      </w:pPr>
      <w:r>
        <w:rPr>
          <w:b/>
          <w:bCs/>
        </w:rPr>
        <w:t xml:space="preserve">Definition 1 (Integers)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integers</w:t>
      </w:r>
      <w:r>
        <w:t xml:space="preserve"> </w:t>
      </w:r>
      <w:r>
        <w:t xml:space="preserve">are the whole numbers,</w:t>
      </w:r>
      <w:r>
        <w:t xml:space="preserve"> </w:t>
      </w:r>
      <w:r>
        <w:t xml:space="preserve">together with their negatives and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An</w:t>
      </w:r>
      <w:r>
        <w:t xml:space="preserve"> </w:t>
      </w:r>
      <w:r>
        <w:rPr>
          <w:b/>
          <w:bCs/>
        </w:rPr>
        <w:t xml:space="preserve">integer</w:t>
      </w:r>
      <w:r>
        <w:t xml:space="preserve"> </w:t>
      </w:r>
      <w:r>
        <w:t xml:space="preserve">is an element of</w:t>
      </w:r>
      <w:r>
        <w:t xml:space="preserve"> </w:t>
      </w:r>
      <m:oMath>
        <m:r>
          <m:rPr>
            <m:scr m:val="double-struck"/>
            <m:sty m:val="p"/>
          </m:rPr>
          <m:t>Z</m:t>
        </m:r>
      </m:oMath>
      <w:r>
        <w:t xml:space="preserve">.</w:t>
      </w:r>
      <w:r>
        <w:t xml:space="preserve"> </w:t>
      </w:r>
      <w:r>
        <w:t xml:space="preserve">The integers greater than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positive integers</w:t>
      </w:r>
      <w:r>
        <w:t xml:space="preserve">,</w:t>
      </w:r>
      <w:r>
        <w:t xml:space="preserve"> </w:t>
      </w:r>
      <w:r>
        <w:t xml:space="preserve">and the integers less than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negative integers</w:t>
      </w:r>
      <w:r>
        <w:t xml:space="preserve">.</w:t>
      </w:r>
    </w:p>
    <w:bookmarkEnd w:id="20"/>
    <w:bookmarkStart w:id="21" w:name="exm-integers"/>
    <w:p>
      <w:pPr>
        <w:pStyle w:val="BodyText"/>
      </w:pPr>
      <w:r>
        <w:rPr>
          <w:b/>
          <w:bCs/>
        </w:rPr>
        <w:t xml:space="preserve">Example 1 (Integers and non-integers)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−</m:t>
        </m:r>
        <m:r>
          <m:t>7</m:t>
        </m:r>
      </m:oMath>
      <w:r>
        <w:t xml:space="preserve">,</w:t>
      </w:r>
      <w:r>
        <w:t xml:space="preserve"> </w:t>
      </w:r>
      <m:oMath>
        <m:r>
          <m:t>0</m:t>
        </m:r>
      </m:oMath>
      <w:r>
        <w:t xml:space="preserve">, and</w:t>
      </w:r>
      <w:r>
        <w:t xml:space="preserve"> </w:t>
      </w:r>
      <m:oMath>
        <m:r>
          <m:t>12</m:t>
        </m:r>
      </m:oMath>
      <w:r>
        <w:t xml:space="preserve"> </w:t>
      </w:r>
      <w:r>
        <w:t xml:space="preserve">are integers.</w:t>
      </w:r>
    </w:p>
    <w:p>
      <w:pPr>
        <w:pStyle w:val="Compact"/>
        <w:numPr>
          <w:ilvl w:val="0"/>
          <w:numId w:val="1002"/>
        </w:numPr>
      </w:pP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2.5</m:t>
        </m:r>
      </m:oMath>
      <w:r>
        <w:t xml:space="preserve"> </w:t>
      </w:r>
      <w:r>
        <w:t xml:space="preserve">are not integers.</w:t>
      </w:r>
    </w:p>
    <w:p>
      <w:pPr>
        <w:pStyle w:val="Compact"/>
        <w:numPr>
          <w:ilvl w:val="0"/>
          <w:numId w:val="1002"/>
        </w:numPr>
      </w:pPr>
      <m:oMath>
        <m:f>
          <m:fPr>
            <m:type m:val="bar"/>
          </m:fPr>
          <m:num>
            <m:r>
              <m:t>6</m:t>
            </m:r>
          </m:num>
          <m:den>
            <m:r>
              <m:t>3</m:t>
            </m:r>
          </m:den>
        </m:f>
      </m:oMath>
      <w:r>
        <w:t xml:space="preserve"> </w:t>
      </w:r>
      <w:r>
        <w:t xml:space="preserve">is an integer, because</w:t>
      </w:r>
      <w:r>
        <w:t xml:space="preserve"> </w:t>
      </w:r>
      <m:oMath>
        <m:f>
          <m:fPr>
            <m:type m:val="bar"/>
          </m:fPr>
          <m:num>
            <m:r>
              <m:t>6</m:t>
            </m:r>
          </m:num>
          <m:den>
            <m:r>
              <m:t>3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21"/>
    <w:bookmarkStart w:id="22" w:name="def-even-odd"/>
    <w:p>
      <w:pPr>
        <w:pStyle w:val="FirstParagraph"/>
      </w:pPr>
      <w:r>
        <w:rPr>
          <w:b/>
          <w:bCs/>
        </w:rPr>
        <w:t xml:space="preserve">Definition 2 (Even and odd integers)</w:t>
      </w:r>
      <w:r>
        <w:t xml:space="preserve"> </w:t>
      </w:r>
      <w:r>
        <w:t xml:space="preserve">An integer (</w:t>
      </w:r>
      <w:hyperlink w:anchor="def-integers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even</w:t>
      </w:r>
      <w:r>
        <w:t xml:space="preserve"> </w:t>
      </w:r>
      <w:r>
        <w:t xml:space="preserve">if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odd</w:t>
      </w:r>
      <w:r>
        <w:t xml:space="preserve"> </w:t>
      </w:r>
      <w:r>
        <w:t xml:space="preserve">if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k</m:t>
        </m:r>
      </m:oMath>
      <w:r>
        <w:t xml:space="preserve">.</w:t>
      </w:r>
    </w:p>
    <w:bookmarkEnd w:id="22"/>
    <w:bookmarkStart w:id="23" w:name="exm-even-odd"/>
    <w:p>
      <w:pPr>
        <w:pStyle w:val="BodyText"/>
      </w:pPr>
      <w:r>
        <w:rPr>
          <w:b/>
          <w:bCs/>
        </w:rPr>
        <w:t xml:space="preserve">Example 2 (Even and odd integers)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m:oMath>
        <m:r>
          <m:t>6</m:t>
        </m:r>
      </m:oMath>
      <w:r>
        <w:t xml:space="preserve"> </w:t>
      </w:r>
      <w:r>
        <w:t xml:space="preserve">is even, because</w:t>
      </w:r>
      <w:r>
        <w:t xml:space="preserve"> </w:t>
      </w:r>
      <m:oMath>
        <m:r>
          <m:t>6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0</m:t>
        </m:r>
      </m:oMath>
      <w:r>
        <w:t xml:space="preserve"> </w:t>
      </w:r>
      <w:r>
        <w:t xml:space="preserve">is even, because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is odd, because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7</m:t>
        </m:r>
      </m:oMath>
      <w:r>
        <w:t xml:space="preserve"> </w:t>
      </w:r>
      <w:r>
        <w:t xml:space="preserve">is odd, because</w:t>
      </w:r>
      <w:r>
        <w:t xml:space="preserve"> </w:t>
      </w:r>
      <m:oMath>
        <m:r>
          <m:t>7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2.5</m:t>
        </m:r>
      </m:oMath>
      <w:r>
        <w:t xml:space="preserve"> </w:t>
      </w:r>
      <w:r>
        <w:t xml:space="preserve">is neither even nor odd, because it is not an integer.</w:t>
      </w:r>
    </w:p>
    <w:bookmarkEnd w:id="23"/>
    <w:bookmarkStart w:id="24" w:name="def-natural-numbers"/>
    <w:p>
      <w:pPr>
        <w:pStyle w:val="FirstParagraph"/>
      </w:pPr>
      <w:r>
        <w:rPr>
          <w:b/>
          <w:bCs/>
        </w:rPr>
        <w:t xml:space="preserve">Definition 3 (Natural numbers (our convention))</w:t>
      </w:r>
      <w:r>
        <w:t xml:space="preserve"> </w:t>
      </w:r>
      <w:r>
        <w:t xml:space="preserve">In these notes, the</w:t>
      </w:r>
      <w:r>
        <w:t xml:space="preserve"> </w:t>
      </w:r>
      <w:r>
        <w:rPr>
          <w:b/>
          <w:bCs/>
        </w:rPr>
        <w:t xml:space="preserve">natural numbers</w:t>
      </w:r>
      <w:r>
        <w:t xml:space="preserve"> </w:t>
      </w:r>
      <w:r>
        <w:t xml:space="preserve">are the positive integers (</w:t>
      </w:r>
      <w:hyperlink w:anchor="def-integers">
        <w:r>
          <w:rPr>
            <w:rStyle w:val="Hyperlink"/>
          </w:rPr>
          <w:t xml:space="preserve">Definition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N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</m:oMath>
      </m:oMathPara>
    </w:p>
    <w:bookmarkEnd w:id="24"/>
    <w:bookmarkStart w:id="25" w:name="def-nonnegative-integers"/>
    <w:p>
      <w:pPr>
        <w:pStyle w:val="FirstParagraph"/>
      </w:pPr>
      <w:r>
        <w:rPr>
          <w:b/>
          <w:bCs/>
        </w:rPr>
        <w:t xml:space="preserve">Definition 4 (Non-negative integers)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non-negative integers</w:t>
      </w:r>
      <w:r>
        <w:t xml:space="preserve"> </w:t>
      </w:r>
      <w:r>
        <w:t xml:space="preserve">are the natural numbers (</w:t>
      </w:r>
      <w:hyperlink w:anchor="def-natural-numbers">
        <w:r>
          <w:rPr>
            <w:rStyle w:val="Hyperlink"/>
          </w:rPr>
          <w:t xml:space="preserve">Definition 3</w:t>
        </w:r>
      </w:hyperlink>
      <w:r>
        <w:t xml:space="preserve">) together with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N</m:t>
              </m:r>
            </m:e>
            <m:sub>
              <m:r>
                <m:t>0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N</m:t>
          </m:r>
          <m:r>
            <m:rPr>
              <m:sty m:val="p"/>
            </m:rPr>
            <m:t>∪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</m:e>
          </m:d>
          <m:r>
            <m:t>​</m:t>
          </m:r>
        </m:oMath>
      </m:oMathPara>
    </w:p>
    <w:bookmarkEnd w:id="25"/>
    <w:bookmarkStart w:id="26" w:name="exm-natural-numbers"/>
    <w:p>
      <w:pPr>
        <w:pStyle w:val="FirstParagraph"/>
      </w:pPr>
      <w:r>
        <w:rPr>
          <w:b/>
          <w:bCs/>
        </w:rPr>
        <w:t xml:space="preserve">Example 3 (Natural numbers in a data analysis)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w:r>
        <w:t xml:space="preserve">Observation indices start at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we write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A count outcome, such as the number of hospital visits in a year,</w:t>
      </w:r>
      <w:r>
        <w:t xml:space="preserve"> </w:t>
      </w:r>
      <w:r>
        <w:t xml:space="preserve">can be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 its support is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N</m:t>
            </m:r>
          </m:e>
          <m:sub>
            <m:r>
              <m:t>0</m:t>
            </m:r>
          </m:sub>
        </m:sSub>
      </m:oMath>
      <w:r>
        <w:t xml:space="preserve">, not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.</w:t>
      </w:r>
    </w:p>
    <w:bookmarkEnd w:id="26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Other conventions for the natural numbers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Other sources may define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 </w:t>
            </w:r>
            <w:r>
              <w:t xml:space="preserve">differently,</w:t>
            </w:r>
            <w:r>
              <w:t xml:space="preserve"> </w:t>
            </w:r>
            <w:r>
              <w:t xml:space="preserve">so check each source’s definition before reading its formulas: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Many sources include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international standard ISO 80000-2 defines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 </w:t>
            </w:r>
            <w:r>
              <w:t xml:space="preserve">to include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continuing the earlier standard ISO 31-11 (1978).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Other sources start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, as these notes do.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To remove the ambiguity,</w:t>
            </w:r>
            <w:r>
              <w:t xml:space="preserve"> </w:t>
            </w:r>
            <w:r>
              <w:t xml:space="preserve">some sources write</w:t>
            </w:r>
            <w:r>
              <w:t xml:space="preserve"> </w:t>
            </w:r>
            <m:oMath>
              <m:sSub>
                <m:e>
                  <m:r>
                    <m:rPr>
                      <m:scr m:val="double-struck"/>
                      <m:sty m:val="p"/>
                    </m:rPr>
                    <m:t>N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Z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rPr>
                      <m:scr m:val="double-struck"/>
                      <m:sty m:val="p"/>
                    </m:rPr>
                    <m:t>N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Z</m:t>
                  </m:r>
                </m:e>
                <m:sup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The words vary too.</w:t>
            </w:r>
            <w:r>
              <w:t xml:space="preserve"> </w:t>
            </w:r>
            <w:r>
              <w:t xml:space="preserve">“Positive integers”</w:t>
            </w:r>
            <w:r>
              <w:t xml:space="preserve"> </w:t>
            </w:r>
            <w:r>
              <w:t xml:space="preserve">(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“non-negative integers”</w:t>
            </w:r>
            <w:r>
              <w:t xml:space="preserve"> </w:t>
            </w:r>
            <w:r>
              <w:t xml:space="preserve">(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)</w:t>
            </w:r>
            <w:r>
              <w:t xml:space="preserve"> </w:t>
            </w:r>
            <w:r>
              <w:t xml:space="preserve">are unambiguous.</w:t>
            </w:r>
            <w:r>
              <w:t xml:space="preserve"> </w:t>
            </w:r>
            <w:r>
              <w:t xml:space="preserve">“Whole numbers”</w:t>
            </w:r>
            <w:r>
              <w:t xml:space="preserve"> </w:t>
            </w:r>
            <w:r>
              <w:t xml:space="preserve">usually includes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but can also mean all of the integers, negative ones included.</w:t>
            </w:r>
            <w:r>
              <w:t xml:space="preserve"> </w:t>
            </w:r>
            <w:r>
              <w:t xml:space="preserve">“Counting numbers”</w:t>
            </w:r>
            <w:r>
              <w:t xml:space="preserve"> </w:t>
            </w:r>
            <w:r>
              <w:t xml:space="preserve">usually starts at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but some sources include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Some older texts write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for the natural numbers.</w:t>
            </w:r>
          </w:p>
          <w:p>
            <w:pPr>
              <w:pStyle w:val="FirstParagraph"/>
            </w:pPr>
            <w:r>
              <w:t xml:space="preserve">When a formula’s meaning depends on whether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is included,</w:t>
            </w:r>
            <w:r>
              <w:t xml:space="preserve"> </w:t>
            </w:r>
            <w:r>
              <w:t xml:space="preserve">we write the set out explicitly,</w:t>
            </w:r>
            <w:r>
              <w:t xml:space="preserve"> </w:t>
            </w:r>
            <w:r>
              <w:t xml:space="preserve">for example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Source:</w:t>
            </w:r>
            <w:r>
              <w:t xml:space="preserve"> </w:t>
            </w:r>
            <w:hyperlink r:id="rId30">
              <w:r>
                <w:rPr>
                  <w:rStyle w:val="Hyperlink"/>
                </w:rPr>
                <w:t xml:space="preserve">Wikipedia,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“Natural number”</w:t>
              </w:r>
              <w:r>
                <w:rPr>
                  <w:rStyle w:val="Hyperlink"/>
                </w:rPr>
                <w:t xml:space="preserve">,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“Terminology and notation”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and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“Zero as natural number”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which cites ISO 80000-2:2019 and the textbooks using each notation.</w:t>
            </w:r>
          </w:p>
          <w:p/>
        </w:tc>
      </w:tr>
    </w:tbl>
    <w:bookmarkEnd w:id="31"/>
    <w:bookmarkStart w:id="42" w:name="sec-notation-reals"/>
    <w:p>
      <w:pPr>
        <w:pStyle w:val="Heading2"/>
      </w:pPr>
      <w:r>
        <w:t xml:space="preserve">3 Rational, real, and irrational numbers</w:t>
      </w:r>
    </w:p>
    <w:bookmarkStart w:id="32" w:name="def-rational-numbers"/>
    <w:p>
      <w:pPr>
        <w:pStyle w:val="FirstParagraph"/>
      </w:pPr>
      <w:r>
        <w:rPr>
          <w:b/>
          <w:bCs/>
        </w:rPr>
        <w:t xml:space="preserve">Definition 5 (Rational numbers)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rational number</w:t>
      </w:r>
      <w:r>
        <w:t xml:space="preserve"> </w:t>
      </w:r>
      <w:r>
        <w:t xml:space="preserve">is a number that can be written as a fraction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integers (</w:t>
      </w:r>
      <w:hyperlink w:anchor="def-integers">
        <w:r>
          <w:rPr>
            <w:rStyle w:val="Hyperlink"/>
          </w:rPr>
          <w:t xml:space="preserve">Definition 1</w:t>
        </w:r>
      </w:hyperlink>
      <w:r>
        <w:t xml:space="preserve">) and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 set of rational numbers is written</w:t>
      </w:r>
      <w:r>
        <w:t xml:space="preserve"> </w:t>
      </w:r>
      <m:oMath>
        <m:r>
          <m:rPr>
            <m:scr m:val="double-struck"/>
            <m:sty m:val="p"/>
          </m:rPr>
          <m:t>Q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Q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  <m:r>
                <m:rPr>
                  <m:sty m:val="p"/>
                </m:rPr>
                <m:t>: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Z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b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Z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b</m:t>
              </m:r>
              <m:r>
                <m:rPr>
                  <m:sty m:val="p"/>
                </m:rPr>
                <m:t>≠</m:t>
              </m:r>
              <m:r>
                <m:t>0</m:t>
              </m:r>
            </m:e>
          </m:d>
          <m:r>
            <m:t>​</m:t>
          </m:r>
        </m:oMath>
      </m:oMathPara>
    </w:p>
    <w:bookmarkEnd w:id="32"/>
    <w:bookmarkStart w:id="33" w:name="exm-rational-numbers"/>
    <w:p>
      <w:pPr>
        <w:pStyle w:val="FirstParagraph"/>
      </w:pPr>
      <w:r>
        <w:rPr>
          <w:b/>
          <w:bCs/>
        </w:rPr>
        <w:t xml:space="preserve">Example 4 (Rational numbers)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6"/>
        </w:numPr>
      </w:pPr>
      <m:oMath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is rational,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m:oMath>
        <m:r>
          <m:t>0.75</m:t>
        </m:r>
      </m:oMath>
      <w:r>
        <w:t xml:space="preserve"> </w:t>
      </w:r>
      <w:r>
        <w:t xml:space="preserve">is rational, because</w:t>
      </w:r>
      <w:r>
        <w:t xml:space="preserve"> </w:t>
      </w:r>
      <m:oMath>
        <m:r>
          <m:t>0.75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Every integer is rational: for example,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−</m:t>
            </m:r>
            <m:r>
              <m:t>5</m:t>
            </m:r>
          </m:num>
          <m:den>
            <m:r>
              <m:t>1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m:oMath>
        <m:r>
          <m:t>0.333</m:t>
        </m:r>
        <m:r>
          <m:rPr>
            <m:sty m:val="p"/>
          </m:rPr>
          <m:t>…</m:t>
        </m:r>
      </m:oMath>
      <w:r>
        <w:t xml:space="preserve">, with the</w:t>
      </w:r>
      <w:r>
        <w:t xml:space="preserve"> </w:t>
      </w:r>
      <m:oMath>
        <m:r>
          <m:t>3</m:t>
        </m:r>
      </m:oMath>
      <w:r>
        <w:t xml:space="preserve">s repeating forever, is rational,</w:t>
      </w:r>
      <w:r>
        <w:t xml:space="preserve"> </w:t>
      </w:r>
      <w:r>
        <w:t xml:space="preserve">because</w:t>
      </w:r>
      <w:r>
        <w:t xml:space="preserve"> </w:t>
      </w:r>
      <m:oMath>
        <m:r>
          <m:t>0.333</m:t>
        </m:r>
        <m:r>
          <m:rPr>
            <m:sty m:val="p"/>
          </m:rPr>
          <m:t>…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.</w:t>
      </w:r>
    </w:p>
    <w:bookmarkEnd w:id="33"/>
    <w:bookmarkStart w:id="34" w:name="def-real-numbers"/>
    <w:p>
      <w:pPr>
        <w:pStyle w:val="FirstParagraph"/>
      </w:pPr>
      <w:r>
        <w:rPr>
          <w:b/>
          <w:bCs/>
        </w:rPr>
        <w:t xml:space="preserve">Definition 6 (Real numbers)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real number</w:t>
      </w:r>
      <w:r>
        <w:t xml:space="preserve"> </w:t>
      </w:r>
      <w:r>
        <w:t xml:space="preserve">is a number that can be written as a decimal expansion:</w:t>
      </w:r>
      <w:r>
        <w:t xml:space="preserve"> </w:t>
      </w:r>
      <w:r>
        <w:t xml:space="preserve">an integer part, followed by a decimal point</w:t>
      </w:r>
      <w:r>
        <w:t xml:space="preserve"> </w:t>
      </w:r>
      <w:r>
        <w:t xml:space="preserve">and a finite or infinite list of decimal places after it.</w:t>
      </w:r>
      <w:r>
        <w:t xml:space="preserve"> </w:t>
      </w:r>
      <w:r>
        <w:t xml:space="preserve">Equivalently, the real numbers are the points on the number line.</w:t>
      </w:r>
      <w:r>
        <w:t xml:space="preserve"> </w:t>
      </w:r>
      <w:r>
        <w:t xml:space="preserve">The set of real numbers is written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34"/>
    <w:bookmarkStart w:id="35" w:name="rem-real-numbers-working-definition"/>
    <w:p>
      <w:pPr>
        <w:pStyle w:val="BodyText"/>
      </w:pPr>
      <w:r>
        <w:rPr>
          <w:i/>
          <w:iCs/>
        </w:rPr>
        <w:t xml:space="preserve">Remark 1</w:t>
      </w:r>
      <w:r>
        <w:t xml:space="preserve"> (A working definition). </w:t>
      </w:r>
      <w:hyperlink w:anchor="def-real-numbers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is a working definition, not a construction:</w:t>
      </w:r>
      <w:r>
        <w:t xml:space="preserve"> </w:t>
      </w:r>
      <w:r>
        <w:t xml:space="preserve">it does not say what an infinite decimal expansion is,</w:t>
      </w:r>
      <w:r>
        <w:t xml:space="preserve"> </w:t>
      </w:r>
      <w:r>
        <w:t xml:space="preserve">or how to add or multiply two of them.</w:t>
      </w:r>
      <w:r>
        <w:t xml:space="preserve"> </w:t>
      </w:r>
      <w:r>
        <w:t xml:space="preserve">Rudin (1976, Appendix to Chapter 1)</w:t>
      </w:r>
      <w:r>
        <w:t xml:space="preserve"> </w:t>
      </w:r>
      <w:r>
        <w:t xml:space="preserve">constructs the real numbers rigorously.</w:t>
      </w:r>
      <w:r>
        <w:t xml:space="preserve"> </w:t>
      </w:r>
      <w:r>
        <w:t xml:space="preserve">Some real numbers have two decimal expansions:</w:t>
      </w:r>
      <w:r>
        <w:t xml:space="preserve"> </w:t>
      </w:r>
      <w:r>
        <w:t xml:space="preserve">for example,</w:t>
      </w:r>
      <w:r>
        <w:t xml:space="preserve"> </w:t>
      </w:r>
      <m:oMath>
        <m:r>
          <m:t>0.999</m:t>
        </m:r>
        <m:r>
          <m:rPr>
            <m:sty m:val="p"/>
          </m:rPr>
          <m:t>…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1.000</m:t>
        </m:r>
        <m:r>
          <m:rPr>
            <m:sty m:val="p"/>
          </m:rPr>
          <m:t>…</m:t>
        </m:r>
      </m:oMath>
      <w:r>
        <w:t xml:space="preserve"> </w:t>
      </w:r>
      <w:r>
        <w:t xml:space="preserve">are the same real number,</w:t>
      </w:r>
      <w:r>
        <w:t xml:space="preserve"> </w:t>
      </w:r>
      <m:oMath>
        <m:r>
          <m:t>1</m:t>
        </m:r>
      </m:oMath>
      <w:r>
        <w:t xml:space="preserve">.</w:t>
      </w:r>
    </w:p>
    <w:bookmarkEnd w:id="35"/>
    <w:bookmarkStart w:id="36" w:name="exm-real-numbers"/>
    <w:p>
      <w:pPr>
        <w:pStyle w:val="BodyText"/>
      </w:pPr>
      <w:r>
        <w:rPr>
          <w:b/>
          <w:bCs/>
        </w:rPr>
        <w:t xml:space="preserve">Example 5 (Real numbers)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m:oMath>
        <m:r>
          <m:t>3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0.5</m:t>
        </m:r>
      </m:oMath>
      <w:r>
        <w:t xml:space="preserve">, and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=</m:t>
        </m:r>
        <m:r>
          <m:t>0.333</m:t>
        </m:r>
        <m:r>
          <m:rPr>
            <m:sty m:val="p"/>
          </m:rPr>
          <m:t>…</m:t>
        </m:r>
      </m:oMath>
      <w:r>
        <w:t xml:space="preserve"> </w:t>
      </w:r>
      <w:r>
        <w:t xml:space="preserve">are real numbers.</w:t>
      </w:r>
    </w:p>
    <w:p>
      <w:pPr>
        <w:pStyle w:val="Compact"/>
        <w:numPr>
          <w:ilvl w:val="0"/>
          <w:numId w:val="1007"/>
        </w:numPr>
      </w:pPr>
      <m:oMath>
        <m:r>
          <m:t>π</m:t>
        </m:r>
        <m:r>
          <m:rPr>
            <m:sty m:val="p"/>
          </m:rPr>
          <m:t>=</m:t>
        </m:r>
        <m:r>
          <m:t>3.14159</m:t>
        </m:r>
        <m:r>
          <m:rPr>
            <m:sty m:val="p"/>
          </m:rPr>
          <m:t>…</m:t>
        </m:r>
      </m:oMath>
      <w:r>
        <w:t xml:space="preserve"> </w:t>
      </w:r>
      <w:r>
        <w:t xml:space="preserve">is a real number.</w:t>
      </w:r>
    </w:p>
    <w:p>
      <w:pPr>
        <w:pStyle w:val="Compact"/>
        <w:numPr>
          <w:ilvl w:val="0"/>
          <w:numId w:val="1007"/>
        </w:numPr>
      </w:pPr>
      <w:r>
        <w:t xml:space="preserve">Every rational number (</w:t>
      </w:r>
      <w:hyperlink w:anchor="def-rational-numbers">
        <w:r>
          <w:rPr>
            <w:rStyle w:val="Hyperlink"/>
          </w:rPr>
          <w:t xml:space="preserve">Definition 5</w:t>
        </w:r>
      </w:hyperlink>
      <w:r>
        <w:t xml:space="preserve">) is a real number,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N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Z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Q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36"/>
    <w:bookmarkStart w:id="37" w:name="def-irrational-numbers"/>
    <w:p>
      <w:pPr>
        <w:pStyle w:val="FirstParagraph"/>
      </w:pPr>
      <w:r>
        <w:rPr>
          <w:b/>
          <w:bCs/>
        </w:rPr>
        <w:t xml:space="preserve">Definition 7 (Irrational numbers)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irrational number</w:t>
      </w:r>
      <w:r>
        <w:t xml:space="preserve"> </w:t>
      </w:r>
      <w:r>
        <w:t xml:space="preserve">is a real number (</w:t>
      </w:r>
      <w:hyperlink w:anchor="def-real-numbers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that is not rational (</w:t>
      </w:r>
      <w:hyperlink w:anchor="def-rational-numbers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37"/>
    <w:bookmarkStart w:id="41" w:name="exm-irrational-numbers"/>
    <w:p>
      <w:pPr>
        <w:pStyle w:val="BodyText"/>
      </w:pPr>
      <w:r>
        <w:rPr>
          <w:b/>
          <w:bCs/>
        </w:rPr>
        <w:t xml:space="preserve">Example 6 (Irrational numbers)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m:oMath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=</m:t>
        </m:r>
        <m:r>
          <m:t>1.41421</m:t>
        </m:r>
        <m:r>
          <m:rPr>
            <m:sty m:val="p"/>
          </m:rPr>
          <m:t>…</m:t>
        </m:r>
      </m:oMath>
      <w:r>
        <w:t xml:space="preserve">, the</w:t>
      </w:r>
      <w:r>
        <w:t xml:space="preserve"> </w:t>
      </w:r>
      <w:hyperlink r:id="rId38">
        <w:r>
          <w:rPr>
            <w:rStyle w:val="Hyperlink"/>
          </w:rPr>
          <w:t xml:space="preserve">square root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2</m:t>
        </m:r>
      </m:oMath>
      <w:r>
        <w:t xml:space="preserve">, is irrational:</w:t>
      </w:r>
      <w:r>
        <w:t xml:space="preserve"> </w:t>
      </w:r>
      <w:r>
        <w:t xml:space="preserve">no fraction of integers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squares to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(see</w:t>
      </w:r>
      <w:r>
        <w:t xml:space="preserve"> </w:t>
      </w:r>
      <w:hyperlink r:id="rId39">
        <w:r>
          <w:rPr>
            <w:rStyle w:val="Hyperlink"/>
          </w:rPr>
          <w:t xml:space="preserve">Wikipedia: Square root of 2</w:t>
        </w:r>
      </w:hyperlink>
      <w:r>
        <w:t xml:space="preserve">).</w:t>
      </w:r>
    </w:p>
    <w:p>
      <w:pPr>
        <w:pStyle w:val="Compact"/>
        <w:numPr>
          <w:ilvl w:val="0"/>
          <w:numId w:val="1008"/>
        </w:numPr>
      </w:pPr>
      <m:oMath>
        <m:r>
          <m:t>π</m:t>
        </m:r>
        <m:r>
          <m:rPr>
            <m:sty m:val="p"/>
          </m:rPr>
          <m:t>=</m:t>
        </m:r>
        <m:r>
          <m:t>3.14159</m:t>
        </m:r>
        <m:r>
          <m:rPr>
            <m:sty m:val="p"/>
          </m:rPr>
          <m:t>…</m:t>
        </m:r>
      </m:oMath>
      <w:r>
        <w:t xml:space="preserve"> </w:t>
      </w:r>
      <w:r>
        <w:t xml:space="preserve">is irrational</w:t>
      </w:r>
      <w:r>
        <w:t xml:space="preserve"> </w:t>
      </w:r>
      <w:r>
        <w:t xml:space="preserve">(see</w:t>
      </w:r>
      <w:r>
        <w:t xml:space="preserve"> </w:t>
      </w:r>
      <w:hyperlink r:id="rId40">
        <w:r>
          <w:rPr>
            <w:rStyle w:val="Hyperlink"/>
          </w:rPr>
          <w:t xml:space="preserve">Wikipedia: Proof that</w:t>
        </w:r>
        <w:r>
          <w:rPr>
            <w:rStyle w:val="Hyperlink"/>
          </w:rPr>
          <w:t xml:space="preserve"> </w:t>
        </w:r>
        <m:oMath>
          <m:r>
            <m:t>π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is irrational</w:t>
        </w:r>
      </w:hyperlink>
      <w:r>
        <w:t xml:space="preserve">).</w:t>
      </w:r>
    </w:p>
    <w:p>
      <w:pPr>
        <w:pStyle w:val="Compact"/>
        <w:numPr>
          <w:ilvl w:val="0"/>
          <w:numId w:val="1008"/>
        </w:numPr>
      </w:pPr>
      <m:oMath>
        <m:r>
          <m:t>1.5</m:t>
        </m:r>
      </m:oMath>
      <w:r>
        <w:t xml:space="preserve"> </w:t>
      </w:r>
      <w:r>
        <w:t xml:space="preserve">is not irrational, because</w:t>
      </w:r>
      <w:r>
        <w:t xml:space="preserve"> </w:t>
      </w:r>
      <m:oMath>
        <m:r>
          <m:t>1.5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is rational.</w:t>
      </w:r>
    </w:p>
    <w:bookmarkEnd w:id="41"/>
    <w:bookmarkEnd w:id="42"/>
    <w:bookmarkStart w:id="44" w:name="percent-sign"/>
    <w:p>
      <w:pPr>
        <w:pStyle w:val="Heading2"/>
      </w:pPr>
      <w:r>
        <w:t xml:space="preserve">4 Percent sign (</w:t>
      </w:r>
      <w:r>
        <w:t xml:space="preserve">“%”</w:t>
      </w:r>
      <w:r>
        <w:t xml:space="preserve">)</w:t>
      </w:r>
    </w:p>
    <w:p>
      <w:pPr>
        <w:pStyle w:val="FirstParagraph"/>
      </w:pPr>
      <w:r>
        <w:t xml:space="preserve">The percent sign</w:t>
      </w:r>
      <w:r>
        <w:t xml:space="preserve"> </w:t>
      </w:r>
      <w:r>
        <w:t xml:space="preserve">“%”</w:t>
      </w:r>
      <w:r>
        <w:t xml:space="preserve"> </w:t>
      </w:r>
      <w:r>
        <w:t xml:space="preserve">is just a shorthand for</w:t>
      </w:r>
      <w:r>
        <w:t xml:space="preserve"> </w:t>
      </w:r>
      <w:r>
        <w:t xml:space="preserve">“</w:t>
      </w:r>
      <m:oMath>
        <m:r>
          <m:rPr>
            <m:sty m:val="p"/>
          </m:rPr>
          <m:t>/</m:t>
        </m:r>
        <m:r>
          <m:t>100</m:t>
        </m:r>
      </m:oMath>
      <w:r>
        <w:t xml:space="preserve">”</w:t>
      </w:r>
      <w:r>
        <w:t xml:space="preserve">.</w:t>
      </w:r>
      <w:r>
        <w:t xml:space="preserve"> </w:t>
      </w:r>
      <w:r>
        <w:t xml:space="preserve">The word</w:t>
      </w:r>
      <w:r>
        <w:t xml:space="preserve"> </w:t>
      </w:r>
      <w:r>
        <w:t xml:space="preserve">“percent”</w:t>
      </w:r>
      <w:r>
        <w:t xml:space="preserve"> </w:t>
      </w:r>
      <w:r>
        <w:t xml:space="preserve">comes from the Latin</w:t>
      </w:r>
      <w:r>
        <w:t xml:space="preserve"> </w:t>
      </w:r>
      <w:r>
        <w:t xml:space="preserve">“per centum”</w:t>
      </w:r>
      <w:r>
        <w:t xml:space="preserve">;</w:t>
      </w:r>
      <w:r>
        <w:t xml:space="preserve"> </w:t>
      </w:r>
      <w:r>
        <w:t xml:space="preserve">“centum”</w:t>
      </w:r>
      <w:r>
        <w:t xml:space="preserve"> </w:t>
      </w:r>
      <w:r>
        <w:t xml:space="preserve">is Latin for 100,</w:t>
      </w:r>
      <w:r>
        <w:t xml:space="preserve"> </w:t>
      </w:r>
      <w:r>
        <w:t xml:space="preserve">so</w:t>
      </w:r>
      <w:r>
        <w:t xml:space="preserve"> </w:t>
      </w:r>
      <w:r>
        <w:t xml:space="preserve">“percent”</w:t>
      </w:r>
      <w:r>
        <w:t xml:space="preserve"> </w:t>
      </w:r>
      <w:r>
        <w:t xml:space="preserve">means</w:t>
      </w:r>
      <w:r>
        <w:t xml:space="preserve"> </w:t>
      </w:r>
      <w:r>
        <w:t xml:space="preserve">“per hundred”</w:t>
      </w:r>
      <w:r>
        <w:t xml:space="preserve"> </w:t>
      </w:r>
      <w:r>
        <w:t xml:space="preserve">(cf. </w:t>
      </w:r>
      <w:hyperlink r:id="rId43">
        <w:r>
          <w:rPr>
            <w:rStyle w:val="Hyperlink"/>
          </w:rPr>
          <w:t xml:space="preserve">https://en.wikipedia.org/wiki/Percentage</w:t>
        </w:r>
      </w:hyperlink>
      <w:r>
        <w:t xml:space="preserve">)</w:t>
      </w:r>
    </w:p>
    <w:p>
      <w:pPr>
        <w:pStyle w:val="BodyText"/>
      </w:pPr>
      <w:r>
        <w:t xml:space="preserve">So, contrary to what you may have learned previously,</w:t>
      </w:r>
      <w:r>
        <w:t xml:space="preserve"> </w:t>
      </w:r>
      <m:oMath>
        <m:r>
          <m:t>10</m:t>
        </m:r>
        <m:r>
          <m:rPr>
            <m:sty m:val="p"/>
          </m:rPr>
          <m:t>%</m:t>
        </m:r>
        <m:r>
          <m:rPr>
            <m:sty m:val="p"/>
          </m:rPr>
          <m:t>=</m:t>
        </m:r>
        <m:r>
          <m:t>0.1</m:t>
        </m:r>
      </m:oMath>
      <w:r>
        <w:t xml:space="preserve"> </w:t>
      </w:r>
      <w:r>
        <w:t xml:space="preserve">is a true and correct equality,</w:t>
      </w:r>
      <w:r>
        <w:t xml:space="preserve"> </w:t>
      </w:r>
      <w:r>
        <w:t xml:space="preserve">just as</w:t>
      </w:r>
      <w:r>
        <w:t xml:space="preserve"> </w:t>
      </w:r>
      <m:oMath>
        <m:r>
          <m:t>10</m:t>
        </m:r>
        <m:r>
          <m:rPr>
            <m:nor/>
            <m:sty m:val="p"/>
          </m:rPr>
          <m:t>kg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  <m:r>
          <m:rPr>
            <m:nor/>
            <m:sty m:val="p"/>
          </m:rPr>
          <m:t>g</m:t>
        </m:r>
      </m:oMath>
      <w:r>
        <w:t xml:space="preserve"> </w:t>
      </w:r>
      <w:r>
        <w:t xml:space="preserve">is true and correct.</w:t>
      </w:r>
    </w:p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10</m:t>
              </m:r>
              <m:r>
                <m:rPr>
                  <m:sty m:val="p"/>
                </m:rPr>
                <m:t>%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10</m:t>
              </m:r>
              <m:r>
                <m:rPr>
                  <m:sty m:val="p"/>
                </m:rPr>
                <m:t>/</m:t>
              </m:r>
              <m:r>
                <m:t>100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100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</m:t>
              </m:r>
            </m:e>
          </m:eqArr>
        </m:oMath>
      </m:oMathPara>
    </w:p>
    <w:p>
      <w:pPr>
        <w:pStyle w:val="FirstParagraph"/>
      </w:pPr>
      <w:r>
        <w:t xml:space="preserve">You are welcome to switch between decimal and percent notation freely;</w:t>
      </w:r>
      <w:r>
        <w:t xml:space="preserve"> </w:t>
      </w:r>
      <w:r>
        <w:t xml:space="preserve">just make sure you execute it correctly.</w:t>
      </w:r>
    </w:p>
    <w:bookmarkEnd w:id="44"/>
    <w:bookmarkStart w:id="64" w:name="proofs"/>
    <w:p>
      <w:pPr>
        <w:pStyle w:val="Heading2"/>
      </w:pPr>
      <w:r>
        <w:t xml:space="preserve">5 Proofs</w:t>
      </w:r>
    </w:p>
    <w:p>
      <w:pPr>
        <w:pStyle w:val="FirstParagraph"/>
      </w:pPr>
      <w:r>
        <w:t xml:space="preserve">We can use any of:</w:t>
      </w:r>
    </w:p>
    <w:p>
      <w:pPr>
        <w:pStyle w:val="Compact"/>
        <w:numPr>
          <w:ilvl w:val="0"/>
          <w:numId w:val="1009"/>
        </w:numPr>
      </w:pPr>
      <m:oMath>
        <m:r>
          <m:rPr>
            <m:sty m:val="p"/>
          </m:rPr>
          <m:t>∴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\therefore</w:t>
      </w:r>
      <w:r>
        <w:t xml:space="preserve"> </w:t>
      </w:r>
      <w:r>
        <w:t xml:space="preserve">in LaTeX),</w:t>
      </w:r>
    </w:p>
    <w:p>
      <w:pPr>
        <w:pStyle w:val="Compact"/>
        <w:numPr>
          <w:ilvl w:val="0"/>
          <w:numId w:val="1009"/>
        </w:numPr>
      </w:pPr>
      <m:oMath>
        <m:r>
          <m:rPr>
            <m:sty m:val="p"/>
          </m:rPr>
          <m:t>⇒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\Rightarrow</w:t>
      </w:r>
      <w:r>
        <w:t xml:space="preserve">),</w:t>
      </w:r>
    </w:p>
    <w:p>
      <w:pPr>
        <w:pStyle w:val="Compact"/>
        <w:numPr>
          <w:ilvl w:val="0"/>
          <w:numId w:val="1009"/>
        </w:numPr>
      </w:pPr>
      <m:oMath>
        <m:r>
          <m:rPr>
            <m:sty m:val="p"/>
          </m:rPr>
          <m:t>⊨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\models</w:t>
      </w:r>
      <w:r>
        <w:t xml:space="preserve">)</w:t>
      </w:r>
    </w:p>
    <w:p>
      <w:pPr>
        <w:pStyle w:val="FirstParagraph"/>
      </w:pPr>
      <w:r>
        <w:t xml:space="preserve">to denote logical entailments (deductive consequences).</w:t>
      </w:r>
    </w:p>
    <w:p>
      <w:pPr>
        <w:pStyle w:val="BodyText"/>
      </w:pPr>
      <w:r>
        <w:t xml:space="preserve">Let’s save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\rightarrow</w:t>
      </w:r>
      <w:r>
        <w:t xml:space="preserve">) for</w:t>
      </w:r>
      <w:r>
        <w:t xml:space="preserve"> </w:t>
      </w:r>
      <w:hyperlink r:id="rId45">
        <w:r>
          <w:rPr>
            <w:rStyle w:val="Hyperlink"/>
          </w:rPr>
          <w:t xml:space="preserve">convergence</w:t>
        </w:r>
      </w:hyperlink>
      <w:r>
        <w:t xml:space="preserve"> </w:t>
      </w:r>
      <w:r>
        <w:t xml:space="preserve">results.</w:t>
      </w:r>
    </w:p>
    <w:bookmarkStart w:id="46" w:name="def-proposition"/>
    <w:p>
      <w:pPr>
        <w:pStyle w:val="BodyText"/>
      </w:pPr>
      <w:r>
        <w:rPr>
          <w:b/>
          <w:bCs/>
        </w:rPr>
        <w:t xml:space="preserve">Definition 8 (Proposition)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proposition</w:t>
      </w:r>
      <w:r>
        <w:t xml:space="preserve">, or</w:t>
      </w:r>
      <w:r>
        <w:t xml:space="preserve"> </w:t>
      </w:r>
      <w:r>
        <w:rPr>
          <w:b/>
          <w:bCs/>
        </w:rPr>
        <w:t xml:space="preserve">statement</w:t>
      </w:r>
      <w:r>
        <w:t xml:space="preserve">,</w:t>
      </w:r>
      <w:r>
        <w:t xml:space="preserve"> </w:t>
      </w:r>
      <w:r>
        <w:t xml:space="preserve">is a sentence that is either true or false.</w:t>
      </w:r>
    </w:p>
    <w:bookmarkEnd w:id="46"/>
    <w:bookmarkStart w:id="47" w:name="exm-proposition"/>
    <w:p>
      <w:pPr>
        <w:pStyle w:val="BodyText"/>
      </w:pPr>
      <w:r>
        <w:rPr>
          <w:b/>
          <w:bCs/>
        </w:rPr>
        <w:t xml:space="preserve">Example 7 (Propositions, and a sentence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0"/>
        </w:numPr>
      </w:pPr>
      <w:r>
        <w:t xml:space="preserve">“</w:t>
      </w:r>
      <m:oMath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5</m:t>
        </m:r>
      </m:oMath>
      <w:r>
        <w:t xml:space="preserve">”</w:t>
      </w:r>
      <w:r>
        <w:t xml:space="preserve"> </w:t>
      </w:r>
      <w:r>
        <w:t xml:space="preserve">is a proposition, and it is true.</w:t>
      </w:r>
    </w:p>
    <w:p>
      <w:pPr>
        <w:pStyle w:val="Compact"/>
        <w:numPr>
          <w:ilvl w:val="0"/>
          <w:numId w:val="1010"/>
        </w:numPr>
      </w:pPr>
      <w:r>
        <w:t xml:space="preserve">“</w:t>
      </w:r>
      <m:oMath>
        <m:r>
          <m:t>7</m:t>
        </m:r>
      </m:oMath>
      <w:r>
        <w:t xml:space="preserve"> </w:t>
      </w:r>
      <w:r>
        <w:t xml:space="preserve">is</w:t>
      </w:r>
      <w:r>
        <w:t xml:space="preserve"> </w:t>
      </w:r>
      <w:hyperlink w:anchor="def-even-odd">
        <w:r>
          <w:rPr>
            <w:rStyle w:val="Hyperlink"/>
          </w:rPr>
          <w:t xml:space="preserve">even</w:t>
        </w:r>
      </w:hyperlink>
      <w:r>
        <w:t xml:space="preserve">”</w:t>
      </w:r>
      <w:r>
        <w:t xml:space="preserve"> </w:t>
      </w:r>
      <w:r>
        <w:t xml:space="preserve">is a proposition, and it is false.</w:t>
      </w:r>
    </w:p>
    <w:p>
      <w:pPr>
        <w:pStyle w:val="Compact"/>
        <w:numPr>
          <w:ilvl w:val="0"/>
          <w:numId w:val="1010"/>
        </w:numPr>
      </w:pPr>
      <w:r>
        <w:t xml:space="preserve">“</w:t>
      </w:r>
      <m:oMath>
        <m:r>
          <m:t>x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 </w:t>
      </w:r>
      <w:r>
        <w:t xml:space="preserve">is not a proposition on its own:</w:t>
      </w:r>
      <w:r>
        <w:t xml:space="preserve"> </w:t>
      </w:r>
      <w:r>
        <w:t xml:space="preserve">it is true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false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it has no truth value until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given a value.</w:t>
      </w:r>
    </w:p>
    <w:bookmarkEnd w:id="47"/>
    <w:bookmarkStart w:id="48" w:name="def-predicate"/>
    <w:p>
      <w:pPr>
        <w:pStyle w:val="FirstParagraph"/>
      </w:pPr>
      <w:r>
        <w:rPr>
          <w:b/>
          <w:bCs/>
        </w:rPr>
        <w:t xml:space="preserve">Definition 9 (Predicate)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predicate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sentence about a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that becomes a proposition (</w:t>
      </w:r>
      <w:hyperlink w:anchor="def-proposition">
        <w:r>
          <w:rPr>
            <w:rStyle w:val="Hyperlink"/>
          </w:rPr>
          <w:t xml:space="preserve">Definition 8</w:t>
        </w:r>
      </w:hyperlink>
      <w:r>
        <w:t xml:space="preserve">)</w:t>
      </w:r>
      <w:r>
        <w:t xml:space="preserve"> </w:t>
      </w:r>
      <w:r>
        <w:t xml:space="preserve">whenever a value is substituted for</w:t>
      </w:r>
      <w:r>
        <w:t xml:space="preserve"> </w:t>
      </w:r>
      <m:oMath>
        <m:r>
          <m:t>x</m:t>
        </m:r>
      </m:oMath>
      <w:r>
        <w:t xml:space="preserve">.</w:t>
      </w:r>
    </w:p>
    <w:bookmarkEnd w:id="48"/>
    <w:bookmarkStart w:id="49" w:name="exm-predicate"/>
    <w:p>
      <w:pPr>
        <w:pStyle w:val="BodyText"/>
      </w:pPr>
      <w:r>
        <w:rPr>
          <w:b/>
          <w:bCs/>
        </w:rPr>
        <w:t xml:space="preserve">Example 8 (A predicate)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predicate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, for real numbers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m:oMath>
        <m:r>
          <m:t>P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proposition</w:t>
      </w:r>
      <w:r>
        <w:t xml:space="preserve"> </w:t>
      </w:r>
      <w:r>
        <w:t xml:space="preserve">“</w:t>
      </w:r>
      <m:oMath>
        <m:r>
          <m:t>3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, which is true.</w:t>
      </w:r>
    </w:p>
    <w:p>
      <w:pPr>
        <w:pStyle w:val="Compact"/>
        <w:numPr>
          <w:ilvl w:val="0"/>
          <w:numId w:val="1011"/>
        </w:numPr>
      </w:pPr>
      <m:oMath>
        <m:r>
          <m:t>P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proposition</w:t>
      </w:r>
      <w:r>
        <w:t xml:space="preserve"> </w:t>
      </w:r>
      <w:r>
        <w:t xml:space="preserve">“</w:t>
      </w:r>
      <m:oMath>
        <m:r>
          <m:t>1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, which is false.</w:t>
      </w:r>
    </w:p>
    <w:bookmarkEnd w:id="49"/>
    <w:bookmarkStart w:id="50" w:name="def-proof"/>
    <w:p>
      <w:pPr>
        <w:pStyle w:val="FirstParagraph"/>
      </w:pPr>
      <w:r>
        <w:rPr>
          <w:b/>
          <w:bCs/>
        </w:rPr>
        <w:t xml:space="preserve">Definition 10 (Proof)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proof</w:t>
      </w:r>
      <w:r>
        <w:t xml:space="preserve"> </w:t>
      </w:r>
      <w:r>
        <w:t xml:space="preserve">of a proposition (</w:t>
      </w:r>
      <w:hyperlink w:anchor="def-proposition">
        <w:r>
          <w:rPr>
            <w:rStyle w:val="Hyperlink"/>
          </w:rPr>
          <w:t xml:space="preserve">Definition 8</w:t>
        </w:r>
      </w:hyperlink>
      <w:r>
        <w:t xml:space="preserve">)</w:t>
      </w:r>
      <w:r>
        <w:t xml:space="preserve"> </w:t>
      </w:r>
      <w:r>
        <w:t xml:space="preserve">is a finite list of statements that ends with that proposition,</w:t>
      </w:r>
      <w:r>
        <w:t xml:space="preserve"> </w:t>
      </w:r>
      <w:r>
        <w:t xml:space="preserve">in which each statement is</w:t>
      </w:r>
    </w:p>
    <w:p>
      <w:pPr>
        <w:pStyle w:val="Compact"/>
        <w:numPr>
          <w:ilvl w:val="0"/>
          <w:numId w:val="1012"/>
        </w:numPr>
      </w:pPr>
      <w:r>
        <w:t xml:space="preserve">an assumption,</w:t>
      </w:r>
    </w:p>
    <w:p>
      <w:pPr>
        <w:pStyle w:val="Compact"/>
        <w:numPr>
          <w:ilvl w:val="0"/>
          <w:numId w:val="1012"/>
        </w:numPr>
      </w:pPr>
      <w:r>
        <w:t xml:space="preserve">a definition,</w:t>
      </w:r>
    </w:p>
    <w:p>
      <w:pPr>
        <w:pStyle w:val="Compact"/>
        <w:numPr>
          <w:ilvl w:val="0"/>
          <w:numId w:val="1012"/>
        </w:numPr>
      </w:pPr>
      <w:r>
        <w:t xml:space="preserve">a previously proved result, or</w:t>
      </w:r>
    </w:p>
    <w:p>
      <w:pPr>
        <w:pStyle w:val="Compact"/>
        <w:numPr>
          <w:ilvl w:val="0"/>
          <w:numId w:val="1012"/>
        </w:numPr>
      </w:pPr>
      <w:r>
        <w:t xml:space="preserve">a consequence of earlier statements in the list,</w:t>
      </w:r>
      <w:r>
        <w:t xml:space="preserve"> </w:t>
      </w:r>
      <w:r>
        <w:t xml:space="preserve">by one rule of logic or algebra.</w:t>
      </w:r>
    </w:p>
    <w:bookmarkEnd w:id="50"/>
    <w:bookmarkStart w:id="52" w:name="exm-proof"/>
    <w:p>
      <w:pPr>
        <w:pStyle w:val="FirstParagraph"/>
      </w:pPr>
      <w:r>
        <w:rPr>
          <w:b/>
          <w:bCs/>
        </w:rPr>
        <w:t xml:space="preserve">Example 9 (The sum of two even integers is even)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be even integers (</w:t>
      </w:r>
      <w:hyperlink w:anchor="def-even-odd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  <m:r>
          <m:t>k</m:t>
        </m:r>
      </m:oMath>
      <w:r>
        <w:t xml:space="preserve"> </w:t>
      </w:r>
      <w:r>
        <w:t xml:space="preserve">for some integers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j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k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j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j</m:t>
              </m:r>
              <m:r>
                <m:rPr>
                  <m:sty m:val="p"/>
                </m:rPr>
                <m:t>+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</m:eqArr>
        </m:oMath>
      </m:oMathPara>
    </w:p>
    <w:p>
      <w:pPr>
        <w:pStyle w:val="FirstParagraph"/>
      </w:pPr>
      <w:r>
        <w:t xml:space="preserve">The second line uses the</w:t>
      </w:r>
      <w:r>
        <w:t xml:space="preserve"> </w:t>
      </w:r>
      <w:hyperlink r:id="rId51">
        <w:r>
          <w:rPr>
            <w:rStyle w:val="Hyperlink"/>
          </w:rPr>
          <w:t xml:space="preserve">distributive law</w:t>
        </w:r>
      </w:hyperlink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j</m:t>
        </m:r>
        <m:r>
          <m:rPr>
            <m:sty m:val="p"/>
          </m:rPr>
          <m:t>+</m:t>
        </m:r>
        <m:r>
          <m:t>k</m:t>
        </m:r>
      </m:oMath>
      <w:r>
        <w:t xml:space="preserve"> </w:t>
      </w:r>
      <w:r>
        <w:t xml:space="preserve">is an integer,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is even (</w:t>
      </w:r>
      <w:hyperlink w:anchor="def-even-odd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t>4</m:t>
        </m:r>
        <m:r>
          <m:rPr>
            <m:sty m:val="p"/>
          </m:rPr>
          <m:t>+</m:t>
        </m:r>
        <m:r>
          <m:t>10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⋅</m:t>
        </m:r>
        <m:r>
          <m:t>5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7</m:t>
        </m:r>
        <m:r>
          <m:rPr>
            <m:sty m:val="p"/>
          </m:rPr>
          <m:t>=</m:t>
        </m:r>
        <m:r>
          <m:t>14</m:t>
        </m:r>
      </m:oMath>
      <w:r>
        <w:t xml:space="preserve">.</w:t>
      </w:r>
    </w:p>
    <w:bookmarkEnd w:id="52"/>
    <w:bookmarkStart w:id="53" w:name="def-theorem"/>
    <w:p>
      <w:pPr>
        <w:pStyle w:val="BodyText"/>
      </w:pPr>
      <w:r>
        <w:rPr>
          <w:b/>
          <w:bCs/>
        </w:rPr>
        <w:t xml:space="preserve">Definition 11 (Result, theorem, lemma, and corollary)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result</w:t>
      </w:r>
      <w:r>
        <w:t xml:space="preserve"> </w:t>
      </w:r>
      <w:r>
        <w:t xml:space="preserve">is a proposition (</w:t>
      </w:r>
      <w:hyperlink w:anchor="def-proposition">
        <w:r>
          <w:rPr>
            <w:rStyle w:val="Hyperlink"/>
          </w:rPr>
          <w:t xml:space="preserve">Definition 8</w:t>
        </w:r>
      </w:hyperlink>
      <w:r>
        <w:t xml:space="preserve">)</w:t>
      </w:r>
      <w:r>
        <w:t xml:space="preserve"> </w:t>
      </w:r>
      <w:r>
        <w:t xml:space="preserve">that has a proof (</w:t>
      </w:r>
      <w:hyperlink w:anchor="def-proof">
        <w:r>
          <w:rPr>
            <w:rStyle w:val="Hyperlink"/>
          </w:rPr>
          <w:t xml:space="preserve">Definition 10</w:t>
        </w:r>
      </w:hyperlink>
      <w:r>
        <w:t xml:space="preserve">).</w:t>
      </w:r>
      <w:r>
        <w:t xml:space="preserve"> </w:t>
      </w:r>
      <w:r>
        <w:t xml:space="preserve">These notes label each result by its role:</w:t>
      </w:r>
    </w:p>
    <w:p>
      <w:pPr>
        <w:pStyle w:val="Compact"/>
        <w:numPr>
          <w:ilvl w:val="0"/>
          <w:numId w:val="1013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theorem</w:t>
      </w:r>
      <w:r>
        <w:t xml:space="preserve"> </w:t>
      </w:r>
      <w:r>
        <w:t xml:space="preserve">is a result of interest in its own right;</w:t>
      </w:r>
    </w:p>
    <w:p>
      <w:pPr>
        <w:pStyle w:val="Compact"/>
        <w:numPr>
          <w:ilvl w:val="0"/>
          <w:numId w:val="1013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lemma</w:t>
      </w:r>
      <w:r>
        <w:t xml:space="preserve"> </w:t>
      </w:r>
      <w:r>
        <w:t xml:space="preserve">is a result proved mainly as a step in the proof of another result;</w:t>
      </w:r>
    </w:p>
    <w:p>
      <w:pPr>
        <w:pStyle w:val="Compact"/>
        <w:numPr>
          <w:ilvl w:val="0"/>
          <w:numId w:val="1013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corollary</w:t>
      </w:r>
      <w:r>
        <w:t xml:space="preserve"> </w:t>
      </w:r>
      <w:r>
        <w:t xml:space="preserve">is a result that follows from a theorem</w:t>
      </w:r>
      <w:r>
        <w:t xml:space="preserve"> </w:t>
      </w:r>
      <w:r>
        <w:t xml:space="preserve">with little extra work.</w:t>
      </w:r>
    </w:p>
    <w:bookmarkEnd w:id="53"/>
    <w:bookmarkStart w:id="54" w:name="rem-proposition-as-result"/>
    <w:p>
      <w:pPr>
        <w:pStyle w:val="FirstParagraph"/>
      </w:pPr>
      <w:r>
        <w:rPr>
          <w:i/>
          <w:iCs/>
        </w:rPr>
        <w:t xml:space="preserve">Remark 2</w:t>
      </w:r>
      <w:r>
        <w:t xml:space="preserve"> (</w:t>
      </w:r>
      <w:r>
        <w:t xml:space="preserve">“Proposition”</w:t>
      </w:r>
      <w:r>
        <w:t xml:space="preserve"> </w:t>
      </w:r>
      <w:r>
        <w:t xml:space="preserve">as a kind of result). </w:t>
      </w:r>
      <w:r>
        <w:t xml:space="preserve">Some sources also call a result of moderate importance a</w:t>
      </w:r>
      <w:r>
        <w:t xml:space="preserve"> </w:t>
      </w:r>
      <w:r>
        <w:t xml:space="preserve">“proposition”</w:t>
      </w:r>
      <w:r>
        <w:t xml:space="preserve">.</w:t>
      </w:r>
      <w:r>
        <w:t xml:space="preserve"> </w:t>
      </w:r>
      <w:r>
        <w:t xml:space="preserve">In these notes,</w:t>
      </w:r>
      <w:r>
        <w:t xml:space="preserve"> </w:t>
      </w:r>
      <w:r>
        <w:t xml:space="preserve">“proposition”</w:t>
      </w:r>
      <w:r>
        <w:t xml:space="preserve"> </w:t>
      </w:r>
      <w:r>
        <w:t xml:space="preserve">always means a sentence that is true or false</w:t>
      </w:r>
      <w:r>
        <w:t xml:space="preserve"> </w:t>
      </w:r>
      <w:r>
        <w:t xml:space="preserve">(</w:t>
      </w:r>
      <w:hyperlink w:anchor="def-proposition">
        <w:r>
          <w:rPr>
            <w:rStyle w:val="Hyperlink"/>
          </w:rPr>
          <w:t xml:space="preserve">Definition 8</w:t>
        </w:r>
      </w:hyperlink>
      <w:r>
        <w:t xml:space="preserve">), whether or not it has been proved.</w:t>
      </w:r>
    </w:p>
    <w:bookmarkEnd w:id="54"/>
    <w:bookmarkStart w:id="55" w:name="exm-theorem"/>
    <w:p>
      <w:pPr>
        <w:pStyle w:val="BodyText"/>
      </w:pPr>
      <w:r>
        <w:rPr>
          <w:b/>
          <w:bCs/>
        </w:rPr>
        <w:t xml:space="preserve">Example 10 (A corollary of a result)</w:t>
      </w:r>
      <w:r>
        <w:t xml:space="preserve"> </w:t>
      </w:r>
      <w:hyperlink w:anchor="exm-proof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proves the result</w:t>
      </w:r>
      <w:r>
        <w:t xml:space="preserve"> </w:t>
      </w:r>
      <w:r>
        <w:t xml:space="preserve">“the sum of two even integers is even”</w:t>
      </w:r>
      <w:r>
        <w:t xml:space="preserve">.</w:t>
      </w:r>
      <w:r>
        <w:t xml:space="preserve"> </w:t>
      </w:r>
      <w:r>
        <w:t xml:space="preserve">A corollary follows with little extra work:</w:t>
      </w:r>
      <w:r>
        <w:t xml:space="preserve"> </w:t>
      </w:r>
      <w:r>
        <w:t xml:space="preserve">the sum of three even integers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 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even,</w:t>
      </w:r>
      <w:r>
        <w:t xml:space="preserve"> </w:t>
      </w:r>
      <w:r>
        <w:t xml:space="preserve">because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c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is even by that result,</w:t>
      </w:r>
      <w:r>
        <w:t xml:space="preserve"> </w:t>
      </w:r>
      <w:r>
        <w:t xml:space="preserve">and applying the result again to the even integers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shows that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is even.</w:t>
      </w:r>
      <w:r>
        <w:t xml:space="preserve"> </w:t>
      </w:r>
      <w:r>
        <w:t xml:space="preserve">For example,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=</m:t>
        </m:r>
        <m:r>
          <m:t>6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=</m:t>
        </m:r>
        <m:r>
          <m:t>12</m:t>
        </m:r>
      </m:oMath>
      <w:r>
        <w:t xml:space="preserve">, which is even.</w:t>
      </w:r>
    </w:p>
    <w:bookmarkEnd w:id="55"/>
    <w:bookmarkStart w:id="56" w:name="def-counterexample"/>
    <w:p>
      <w:pPr>
        <w:pStyle w:val="BodyText"/>
      </w:pPr>
      <w:r>
        <w:rPr>
          <w:b/>
          <w:bCs/>
        </w:rPr>
        <w:t xml:space="preserve">Definition 12 (Counterexample)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counterexample</w:t>
      </w:r>
      <w:r>
        <w:t xml:space="preserve"> </w:t>
      </w:r>
      <w:r>
        <w:t xml:space="preserve">to a proposition of the form</w:t>
      </w:r>
      <w:r>
        <w:t xml:space="preserve"> </w:t>
      </w:r>
      <w:r>
        <w:t xml:space="preserve">“for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predicate (</w:t>
      </w:r>
      <w:hyperlink w:anchor="def-predicate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is an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false.</w:t>
      </w:r>
      <w:r>
        <w:t xml:space="preserve"> </w:t>
      </w:r>
      <w:r>
        <w:t xml:space="preserve">A single counterexample shows that the proposition is false.</w:t>
      </w:r>
    </w:p>
    <w:bookmarkEnd w:id="56"/>
    <w:bookmarkStart w:id="57" w:name="exm-counterexample"/>
    <w:p>
      <w:pPr>
        <w:pStyle w:val="BodyText"/>
      </w:pPr>
      <w:r>
        <w:rPr>
          <w:b/>
          <w:bCs/>
        </w:rPr>
        <w:t xml:space="preserve">Example 11 (A counterexample)</w:t>
      </w:r>
      <w:r>
        <w:t xml:space="preserve"> </w:t>
      </w:r>
      <w:r>
        <w:t xml:space="preserve">The proposition</w:t>
      </w:r>
      <w:r>
        <w:t xml:space="preserve"> </w:t>
      </w:r>
      <w:r>
        <w:t xml:space="preserve">“for every integer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&gt;</m:t>
        </m:r>
        <m:r>
          <m:t>n</m:t>
        </m:r>
      </m:oMath>
      <w:r>
        <w:t xml:space="preserve">”</w:t>
      </w:r>
      <w:r>
        <w:t xml:space="preserve"> </w:t>
      </w:r>
      <w:r>
        <w:t xml:space="preserve">is false.</w:t>
      </w:r>
      <w:r>
        <w:t xml:space="preserve"> </w:t>
      </w:r>
      <w:r>
        <w:t xml:space="preserve">The integer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counterexample: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t>0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false.</w:t>
      </w:r>
      <w:r>
        <w:t xml:space="preserve"> </w:t>
      </w:r>
      <w:r>
        <w:t xml:space="preserve">The proposition is true for some integers, such 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6</m:t>
        </m:r>
        <m:r>
          <m:rPr>
            <m:sty m:val="p"/>
          </m:rPr>
          <m:t>&gt;</m:t>
        </m:r>
        <m:r>
          <m:t>3</m:t>
        </m:r>
      </m:oMath>
      <w:r>
        <w:t xml:space="preserve">,</w:t>
      </w:r>
      <w:r>
        <w:t xml:space="preserve"> </w:t>
      </w:r>
      <w:r>
        <w:t xml:space="preserve">but one counterexample is enough to make it false.</w:t>
      </w:r>
    </w:p>
    <w:bookmarkEnd w:id="57"/>
    <w:bookmarkStart w:id="58" w:name="def-converse"/>
    <w:p>
      <w:pPr>
        <w:pStyle w:val="BodyText"/>
      </w:pPr>
      <w:r>
        <w:rPr>
          <w:b/>
          <w:bCs/>
        </w:rPr>
        <w:t xml:space="preserve">Definition 13 (Converse)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converse</w:t>
      </w:r>
      <w:r>
        <w:t xml:space="preserve"> </w:t>
      </w:r>
      <w:r>
        <w:t xml:space="preserve">of the proposition</w:t>
      </w:r>
      <w:r>
        <w:t xml:space="preserve"> 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is the proposition</w:t>
      </w:r>
      <w:r>
        <w:t xml:space="preserve"> </w:t>
      </w:r>
      <w:r>
        <w:t xml:space="preserve">“if</w:t>
      </w:r>
      <w:r>
        <w:t xml:space="preserve"> </w:t>
      </w:r>
      <m:oMath>
        <m:r>
          <m:t>Q</m:t>
        </m:r>
      </m:oMath>
      <w:r>
        <w:t xml:space="preserve">, then</w:t>
      </w:r>
      <w:r>
        <w:t xml:space="preserve"> </w:t>
      </w:r>
      <m:oMath>
        <m:r>
          <m:t>P</m:t>
        </m:r>
      </m:oMath>
      <w:r>
        <w:t xml:space="preserve">”</w:t>
      </w:r>
      <w:r>
        <w:t xml:space="preserve">.</w:t>
      </w:r>
    </w:p>
    <w:bookmarkEnd w:id="58"/>
    <w:bookmarkStart w:id="59" w:name="exm-converse"/>
    <w:p>
      <w:pPr>
        <w:pStyle w:val="BodyText"/>
      </w:pPr>
      <w:r>
        <w:rPr>
          <w:b/>
          <w:bCs/>
        </w:rPr>
        <w:t xml:space="preserve">Example 12 (A true proposition with a false converse)</w:t>
      </w:r>
      <w:r>
        <w:t xml:space="preserve"> </w:t>
      </w:r>
      <w:r>
        <w:t xml:space="preserve">For an integer</w:t>
      </w:r>
      <w:r>
        <w:t xml:space="preserve"> </w:t>
      </w:r>
      <m:oMath>
        <m:r>
          <m:t>n</m:t>
        </m:r>
      </m:oMath>
      <w:r>
        <w:t xml:space="preserve">, call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 multiple of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  <m:r>
          <m:t>k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k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“If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4</m:t>
        </m:r>
      </m:oMath>
      <w:r>
        <w:t xml:space="preserve">, then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even”</w:t>
      </w:r>
      <w:r>
        <w:t xml:space="preserve"> </w:t>
      </w:r>
      <w:r>
        <w:t xml:space="preserve">is true: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  <m:r>
          <m:t>k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2</m:t>
        </m:r>
        <m:r>
          <m:t>k</m:t>
        </m:r>
        <m:r>
          <m:rPr>
            <m:sty m:val="p"/>
          </m:rPr>
          <m:t>)</m:t>
        </m:r>
      </m:oMath>
      <w:r>
        <w:t xml:space="preserve">, and</w:t>
      </w:r>
      <w:r>
        <w:t xml:space="preserve"> </w:t>
      </w:r>
      <m:oMath>
        <m:r>
          <m:t>2</m:t>
        </m:r>
        <m:r>
          <m:t>k</m:t>
        </m:r>
      </m:oMath>
      <w:r>
        <w:t xml:space="preserve"> </w:t>
      </w:r>
      <w:r>
        <w:t xml:space="preserve">is an integer.</w:t>
      </w:r>
    </w:p>
    <w:p>
      <w:pPr>
        <w:pStyle w:val="Compact"/>
        <w:numPr>
          <w:ilvl w:val="0"/>
          <w:numId w:val="1014"/>
        </w:numPr>
      </w:pPr>
      <w:r>
        <w:t xml:space="preserve">Its converse,</w:t>
      </w:r>
      <w:r>
        <w:t xml:space="preserve"> </w:t>
      </w:r>
      <w:r>
        <w:t xml:space="preserve">“if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even, then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4</m:t>
        </m:r>
      </m:oMath>
      <w:r>
        <w:t xml:space="preserve">”</w:t>
      </w:r>
      <w:r>
        <w:t xml:space="preserve">, is false.</w:t>
      </w:r>
      <w:r>
        <w:t xml:space="preserve"> </w:t>
      </w:r>
      <w:r>
        <w:t xml:space="preserve">The integer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a counterexample (</w:t>
      </w:r>
      <w:hyperlink w:anchor="def-counterexample">
        <w:r>
          <w:rPr>
            <w:rStyle w:val="Hyperlink"/>
          </w:rPr>
          <w:t xml:space="preserve">Definition 12</w:t>
        </w:r>
      </w:hyperlink>
      <w:r>
        <w:t xml:space="preserve">):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even, but</w:t>
      </w:r>
      <w:r>
        <w:t xml:space="preserve"> </w:t>
      </w:r>
      <m:oMath>
        <m:r>
          <m:t>2</m:t>
        </m:r>
        <m:r>
          <m:rPr>
            <m:sty m:val="p"/>
          </m:rPr>
          <m:t>=</m:t>
        </m:r>
        <m:r>
          <m:t>4</m:t>
        </m:r>
        <m:r>
          <m:t>k</m:t>
        </m:r>
      </m:oMath>
      <w:r>
        <w:t xml:space="preserve"> </w:t>
      </w:r>
      <w:r>
        <w:t xml:space="preserve">only 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 which is not an integer.</w:t>
      </w:r>
    </w:p>
    <w:p>
      <w:pPr>
        <w:pStyle w:val="FirstParagraph"/>
      </w:pPr>
      <w:r>
        <w:t xml:space="preserve">So a proposition can be true while its converse is false.</w:t>
      </w:r>
    </w:p>
    <w:bookmarkEnd w:id="59"/>
    <w:bookmarkStart w:id="60" w:name="def-necessary-sufficient"/>
    <w:p>
      <w:pPr>
        <w:pStyle w:val="BodyText"/>
      </w:pPr>
      <w:r>
        <w:rPr>
          <w:b/>
          <w:bCs/>
        </w:rPr>
        <w:t xml:space="preserve">Definition 14 (Necessary and sufficient conditions)</w:t>
      </w:r>
      <w:r>
        <w:t xml:space="preserve"> </w:t>
      </w:r>
      <w:r>
        <w:t xml:space="preserve">When the proposition</w:t>
      </w:r>
      <w:r>
        <w:t xml:space="preserve"> 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is true,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sufficient condition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necessary condition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</m:oMath>
      <w:r>
        <w:t xml:space="preserve">.</w:t>
      </w:r>
      <w:r>
        <w:t xml:space="preserve"> </w:t>
      </w:r>
      <w:r>
        <w:t xml:space="preserve">When both</w:t>
      </w:r>
      <w:r>
        <w:t xml:space="preserve"> 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and its converse (</w:t>
      </w:r>
      <w:hyperlink w:anchor="def-converse">
        <w:r>
          <w:rPr>
            <w:rStyle w:val="Hyperlink"/>
          </w:rPr>
          <w:t xml:space="preserve">Definition 13</w:t>
        </w:r>
      </w:hyperlink>
      <w:r>
        <w:t xml:space="preserve">) are true,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necessary and sufficient condition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.</w:t>
      </w:r>
    </w:p>
    <w:bookmarkEnd w:id="60"/>
    <w:bookmarkStart w:id="61" w:name="exm-necessary-sufficient"/>
    <w:p>
      <w:pPr>
        <w:pStyle w:val="BodyText"/>
      </w:pPr>
      <w:r>
        <w:rPr>
          <w:b/>
          <w:bCs/>
        </w:rPr>
        <w:t xml:space="preserve">Example 13 (Necessary but not sufficient)</w:t>
      </w:r>
      <w:r>
        <w:t xml:space="preserve"> </w:t>
      </w:r>
      <w:r>
        <w:t xml:space="preserve">In</w:t>
      </w:r>
      <w:r>
        <w:t xml:space="preserve"> </w:t>
      </w:r>
      <w:hyperlink w:anchor="exm-converse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w:r>
        <w:t xml:space="preserve">“if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4</m:t>
        </m:r>
      </m:oMath>
      <w:r>
        <w:t xml:space="preserve">, then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even”</w:t>
      </w:r>
      <w:r>
        <w:t xml:space="preserve"> </w:t>
      </w:r>
      <w:r>
        <w:t xml:space="preserve">is true, so:</w:t>
      </w:r>
    </w:p>
    <w:p>
      <w:pPr>
        <w:pStyle w:val="Compact"/>
        <w:numPr>
          <w:ilvl w:val="0"/>
          <w:numId w:val="1015"/>
        </w:numPr>
      </w:pPr>
      <w:r>
        <w:t xml:space="preserve">being a multiple of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a sufficient condition 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be even;</w:t>
      </w:r>
    </w:p>
    <w:p>
      <w:pPr>
        <w:pStyle w:val="Compact"/>
        <w:numPr>
          <w:ilvl w:val="0"/>
          <w:numId w:val="1015"/>
        </w:numPr>
      </w:pPr>
      <w:r>
        <w:t xml:space="preserve">being even is a necessary condition 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be a multiple of</w:t>
      </w:r>
      <w:r>
        <w:t xml:space="preserve"> </w:t>
      </w:r>
      <m:oMath>
        <m:r>
          <m:t>4</m:t>
        </m:r>
      </m:oMath>
      <w:r>
        <w:t xml:space="preserve">.</w:t>
      </w:r>
    </w:p>
    <w:p>
      <w:pPr>
        <w:pStyle w:val="FirstParagraph"/>
      </w:pPr>
      <w:r>
        <w:t xml:space="preserve">Being even is not a sufficient condition for being a multiple of</w:t>
      </w:r>
      <w:r>
        <w:t xml:space="preserve"> </w:t>
      </w:r>
      <m:oMath>
        <m:r>
          <m:t>4</m:t>
        </m:r>
      </m:oMath>
      <w:r>
        <w:t xml:space="preserve">: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even, but not a multiple of</w:t>
      </w:r>
      <w:r>
        <w:t xml:space="preserve"> </w:t>
      </w:r>
      <m:oMath>
        <m:r>
          <m:t>4</m:t>
        </m:r>
      </m:oMath>
      <w:r>
        <w:t xml:space="preserve">.</w:t>
      </w:r>
    </w:p>
    <w:bookmarkEnd w:id="61"/>
    <w:bookmarkStart w:id="62" w:name="def-proof-by-contradiction"/>
    <w:p>
      <w:pPr>
        <w:pStyle w:val="BodyText"/>
      </w:pPr>
      <w:r>
        <w:rPr>
          <w:b/>
          <w:bCs/>
        </w:rPr>
        <w:t xml:space="preserve">Definition 15 (Proof by contradiction)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proof by contradiction</w:t>
      </w:r>
      <w:r>
        <w:t xml:space="preserve"> </w:t>
      </w:r>
      <w:r>
        <w:t xml:space="preserve">of a proposition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assumes that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derives from that assumption a proposition that is known to be false.</w:t>
      </w:r>
      <w:r>
        <w:t xml:space="preserve"> </w:t>
      </w:r>
      <w:r>
        <w:t xml:space="preserve">Since a true assumption cannot lead to a false proposition,</w:t>
      </w:r>
      <w:r>
        <w:t xml:space="preserve"> </w:t>
      </w:r>
      <w:r>
        <w:t xml:space="preserve">the assumption that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 must itself be false,</w:t>
      </w:r>
      <w:r>
        <w:t xml:space="preserve"> </w:t>
      </w:r>
      <w:r>
        <w:t xml:space="preserve">so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</w:p>
    <w:bookmarkEnd w:id="62"/>
    <w:bookmarkStart w:id="63" w:name="exm-proof-by-contradiction"/>
    <w:p>
      <w:pPr>
        <w:pStyle w:val="BodyText"/>
      </w:pPr>
      <w:r>
        <w:rPr>
          <w:b/>
          <w:bCs/>
        </w:rPr>
        <w:t xml:space="preserve">Example 14 (No integer is both even and odd)</w:t>
      </w:r>
      <w:r>
        <w:t xml:space="preserve"> </w:t>
      </w:r>
      <w:r>
        <w:t xml:space="preserve">Suppose, for contradiction, that some integer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both even and odd (</w:t>
      </w:r>
      <w:hyperlink w:anchor="def-even-odd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some integers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t>j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(both equal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2</m:t>
              </m:r>
              <m:r>
                <m:t>j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k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r>
                <m:t>2</m:t>
              </m:r>
              <m:r>
                <m:t>k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t>2</m:t>
              </m:r>
              <m:r>
                <m:rPr>
                  <m:sty m:val="p"/>
                </m:rPr>
                <m:t>(</m:t>
              </m:r>
              <m:r>
                <m:t>j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j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third line uses the</w:t>
      </w:r>
      <w:r>
        <w:t xml:space="preserve"> </w:t>
      </w:r>
      <w:hyperlink r:id="rId51">
        <w:r>
          <w:rPr>
            <w:rStyle w:val="Hyperlink"/>
          </w:rPr>
          <w:t xml:space="preserve">distributive law</w:t>
        </w:r>
      </w:hyperlink>
      <w:r>
        <w:t xml:space="preserve">.</w:t>
      </w:r>
      <w:r>
        <w:t xml:space="preserve"> </w:t>
      </w:r>
      <w:r>
        <w:t xml:space="preserve">But</w:t>
      </w:r>
      <w:r>
        <w:t xml:space="preserve"> </w:t>
      </w:r>
      <m:oMath>
        <m:r>
          <m:t>j</m:t>
        </m:r>
        <m:r>
          <m:rPr>
            <m:sty m:val="p"/>
          </m:rPr>
          <m:t>−</m:t>
        </m:r>
        <m:r>
          <m:t>k</m:t>
        </m:r>
      </m:oMath>
      <w:r>
        <w:t xml:space="preserve"> </w:t>
      </w:r>
      <w:r>
        <w:t xml:space="preserve">is an integer, and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is not,</w:t>
      </w:r>
      <w:r>
        <w:t xml:space="preserve"> </w:t>
      </w:r>
      <w:r>
        <w:t xml:space="preserve">so the last line is false.</w:t>
      </w:r>
      <w:r>
        <w:t xml:space="preserve"> </w:t>
      </w:r>
      <w:r>
        <w:t xml:space="preserve">So no integer is both even and odd.</w:t>
      </w:r>
      <w:r>
        <w:t xml:space="preserve"> </w:t>
      </w:r>
      <w:r>
        <w:t xml:space="preserve">For example,</w:t>
      </w:r>
      <w:r>
        <w:t xml:space="preserve"> </w:t>
      </w:r>
      <m:oMath>
        <m:r>
          <m:t>6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</m:oMath>
      <w:r>
        <w:t xml:space="preserve"> </w:t>
      </w:r>
      <w:r>
        <w:t xml:space="preserve">is even,</w:t>
      </w:r>
      <w:r>
        <w:t xml:space="preserve"> </w:t>
      </w:r>
      <w:r>
        <w:t xml:space="preserve">and</w:t>
      </w:r>
      <w:r>
        <w:t xml:space="preserve"> </w:t>
      </w:r>
      <m:oMath>
        <m:r>
          <m:t>6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would need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2.5</m:t>
        </m:r>
      </m:oMath>
      <w:r>
        <w:t xml:space="preserve">, which is not an integer.</w:t>
      </w:r>
    </w:p>
    <w:bookmarkEnd w:id="63"/>
    <w:bookmarkEnd w:id="64"/>
    <w:bookmarkStart w:id="88" w:name="sec-indicator-functions"/>
    <w:p>
      <w:pPr>
        <w:pStyle w:val="Heading2"/>
      </w:pPr>
      <w:r>
        <w:t xml:space="preserve">6 Indicator functions</w:t>
      </w:r>
    </w:p>
    <w:p>
      <w:pPr>
        <w:pStyle w:val="FirstParagraph"/>
      </w:pPr>
      <w:r>
        <w:t xml:space="preserve">An</w:t>
      </w:r>
      <w:r>
        <w:t xml:space="preserve"> </w:t>
      </w:r>
      <w:r>
        <w:rPr>
          <w:b/>
          <w:bCs/>
        </w:rPr>
        <w:t xml:space="preserve">indicator function</w:t>
      </w:r>
      <w:r>
        <w:t xml:space="preserve"> </w:t>
      </w:r>
      <w:r>
        <w:t xml:space="preserve">is a mathematical function that signals</w:t>
      </w:r>
      <w:r>
        <w:t xml:space="preserve"> </w:t>
      </w:r>
      <w:r>
        <w:t xml:space="preserve">whether an element belongs to a specified set,</w:t>
      </w:r>
      <w:r>
        <w:t xml:space="preserve"> </w:t>
      </w:r>
      <w:r>
        <w:t xml:space="preserve">or whether a given logical condition is satisfied.</w:t>
      </w:r>
      <w:r>
        <w:t xml:space="preserve"> </w:t>
      </w:r>
      <w:r>
        <w:t xml:space="preserve">In statistics and epidemiology,</w:t>
      </w:r>
      <w:r>
        <w:t xml:space="preserve"> </w:t>
      </w:r>
      <w:r>
        <w:t xml:space="preserve">indicator functions are ubiquitous:</w:t>
      </w:r>
      <w:r>
        <w:t xml:space="preserve"> </w:t>
      </w:r>
      <w:r>
        <w:t xml:space="preserve">they represent binary variables,</w:t>
      </w:r>
      <w:r>
        <w:t xml:space="preserve"> </w:t>
      </w:r>
      <w:r>
        <w:t xml:space="preserve">censor and event indicators in survival analysis,</w:t>
      </w:r>
      <w:r>
        <w:t xml:space="preserve"> </w:t>
      </w:r>
      <w:r>
        <w:t xml:space="preserve">membership in subpopulations,</w:t>
      </w:r>
      <w:r>
        <w:t xml:space="preserve"> </w:t>
      </w:r>
      <w:r>
        <w:t xml:space="preserve">and domain restrictions in integrals and sums.</w:t>
      </w:r>
    </w:p>
    <w:p>
      <w:pPr>
        <w:pStyle w:val="BodyText"/>
      </w:pPr>
      <w:r>
        <w:t xml:space="preserve">Despite their conceptual simplicity,</w:t>
      </w:r>
      <w:r>
        <w:t xml:space="preserve"> </w:t>
      </w:r>
      <w:r>
        <w:t xml:space="preserve">notation for indicator functions varies substantially across textbooks,</w:t>
      </w:r>
      <w:r>
        <w:t xml:space="preserve"> </w:t>
      </w:r>
      <w:r>
        <w:t xml:space="preserve">research papers,</w:t>
      </w:r>
      <w:r>
        <w:t xml:space="preserve"> </w:t>
      </w:r>
      <w:r>
        <w:t xml:space="preserve">and subfields.</w:t>
      </w:r>
      <w:r>
        <w:t xml:space="preserve"> </w:t>
      </w:r>
      <w:r>
        <w:t xml:space="preserve">This section summarizes the principal notational conventions.</w:t>
      </w:r>
    </w:p>
    <w:bookmarkStart w:id="65" w:name="def-indicator-function"/>
    <w:p>
      <w:pPr>
        <w:pStyle w:val="BodyText"/>
      </w:pPr>
      <w:r>
        <w:rPr>
          <w:b/>
          <w:bCs/>
        </w:rPr>
        <w:t xml:space="preserve">Definition 16 (Indicator function)</w:t>
      </w:r>
      <w:r>
        <w:t xml:space="preserve"> </w:t>
      </w:r>
      <w:r>
        <w:t xml:space="preserve">For any subset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ty m:val="p"/>
          </m:rPr>
          <m:t>Ω</m:t>
        </m:r>
      </m:oMath>
      <w:r>
        <w:t xml:space="preserve"> </w:t>
      </w:r>
      <w:r>
        <w:t xml:space="preserve">of a universal set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indicator function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:</m:t>
        </m:r>
        <m:r>
          <m:rPr>
            <m:sty m:val="p"/>
          </m:rPr>
          <m:t>Ω</m:t>
        </m:r>
        <m:r>
          <m:rPr>
            <m:sty m:val="p"/>
          </m:rPr>
          <m:t>→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defined by: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A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x</m:t>
                    </m:r>
                    <m:r>
                      <m:rPr>
                        <m:sty m:val="p"/>
                      </m:rPr>
                      <m:t>∉</m:t>
                    </m:r>
                    <m:r>
                      <m:t>A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More generally,</w:t>
      </w:r>
      <w:r>
        <w:t xml:space="preserve"> </w:t>
      </w:r>
      <w:r>
        <w:t xml:space="preserve">for any logical proposition or predicate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indicator</w:t>
      </w:r>
      <w:r>
        <w:t xml:space="preserve"> </w:t>
      </w:r>
      <w:r>
        <w:t xml:space="preserve">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takes the value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1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P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 is true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 is false</m:t>
                    </m:r>
                  </m:e>
                </m:mr>
              </m:m>
            </m:e>
          </m:d>
        </m:oMath>
      </m:oMathPara>
    </w:p>
    <w:bookmarkEnd w:id="65"/>
    <w:bookmarkStart w:id="67" w:name="exm-indicator-numerical"/>
    <w:p>
      <w:pPr>
        <w:pStyle w:val="FirstParagraph"/>
      </w:pPr>
      <w:r>
        <w:rPr>
          <w:b/>
          <w:bCs/>
        </w:rPr>
        <w:t xml:space="preserve">Example 15 (Evaluating set and predicate indicators)</w:t>
      </w:r>
      <w:r>
        <w:t xml:space="preserve"> </w:t>
      </w:r>
      <w:r>
        <w:t xml:space="preserve">Consider the real line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the set of nonnegative numbers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 continuous</w:t>
      </w:r>
      <w:r>
        <w:t xml:space="preserve"> </w:t>
      </w:r>
      <w:hyperlink r:id="rId66">
        <w:r>
          <w:rPr>
            <w:rStyle w:val="Hyperlink"/>
          </w:rPr>
          <w:t xml:space="preserve">random variable</w:t>
        </w:r>
      </w:hyperlink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Set indicator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Compact"/>
        <w:numPr>
          <w:ilvl w:val="1"/>
          <w:numId w:val="1017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3.5</m:t>
        </m:r>
      </m:oMath>
      <w:r>
        <w:t xml:space="preserve">: since</w:t>
      </w:r>
      <w:r>
        <w:t xml:space="preserve"> </w:t>
      </w:r>
      <m:oMath>
        <m:r>
          <m:t>3.5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3.5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1"/>
          <w:numId w:val="1017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2.1</m:t>
        </m:r>
      </m:oMath>
      <w:r>
        <w:t xml:space="preserve">: since</w:t>
      </w:r>
      <w:r>
        <w:t xml:space="preserve"> </w:t>
      </w:r>
      <m:oMath>
        <m:r>
          <m:rPr>
            <m:sty m:val="p"/>
          </m:rPr>
          <m:t>−</m:t>
        </m:r>
        <m:r>
          <m:t>2.1</m:t>
        </m:r>
        <m:r>
          <m:rPr>
            <m:sty m:val="p"/>
          </m:rPr>
          <m:t>∉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−</m:t>
        </m:r>
        <m:r>
          <m:t>2.1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Predicate indicator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&gt;</m:t>
            </m:r>
            <m:r>
              <m:t>5</m:t>
            </m:r>
          </m:e>
        </m:d>
        <m:r>
          <m:t>​</m:t>
        </m:r>
      </m:oMath>
      <w:r>
        <w:t xml:space="preserve">:</w:t>
      </w:r>
    </w:p>
    <w:p>
      <w:pPr>
        <w:pStyle w:val="Compact"/>
        <w:numPr>
          <w:ilvl w:val="1"/>
          <w:numId w:val="1018"/>
        </w:numPr>
      </w:pPr>
      <w:r>
        <w:t xml:space="preserve">If an observation yields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7.2</m:t>
        </m:r>
      </m:oMath>
      <w:r>
        <w:t xml:space="preserve">,</w:t>
      </w:r>
      <w:r>
        <w:t xml:space="preserve"> </w:t>
      </w:r>
      <w:r>
        <w:t xml:space="preserve">the predicate</w:t>
      </w:r>
      <w:r>
        <w:t xml:space="preserve"> </w:t>
      </w:r>
      <m:oMath>
        <m:r>
          <m:t>7.2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is true,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7.2</m:t>
            </m:r>
            <m:r>
              <m:rPr>
                <m:sty m:val="p"/>
              </m:rPr>
              <m:t>&gt;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1"/>
          <w:numId w:val="1018"/>
        </w:numPr>
      </w:pPr>
      <w:r>
        <w:t xml:space="preserve">If an observation yields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4.1</m:t>
        </m:r>
      </m:oMath>
      <w:r>
        <w:t xml:space="preserve">,</w:t>
      </w:r>
      <w:r>
        <w:t xml:space="preserve"> </w:t>
      </w:r>
      <w:r>
        <w:t xml:space="preserve">the predicate</w:t>
      </w:r>
      <w:r>
        <w:t xml:space="preserve"> </w:t>
      </w:r>
      <m:oMath>
        <m:r>
          <m:t>4.1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4.1</m:t>
            </m:r>
            <m:r>
              <m:rPr>
                <m:sty m:val="p"/>
              </m:rPr>
              <m:t>&gt;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67"/>
    <w:bookmarkStart w:id="71" w:name="X156504d913efc1f49ad7c2e43ace68824d2fb5d"/>
    <w:p>
      <w:pPr>
        <w:pStyle w:val="Heading3"/>
      </w:pPr>
      <w:r>
        <w:t xml:space="preserve">6.1 Two primary notational paradigms: set vs. predicate notation</w:t>
      </w:r>
    </w:p>
    <w:p>
      <w:pPr>
        <w:pStyle w:val="FirstParagraph"/>
      </w:pPr>
      <w:r>
        <w:t xml:space="preserve">The vast majority of indicator notations belong to one of two families:</w:t>
      </w:r>
      <w:r>
        <w:t xml:space="preserve"> </w:t>
      </w:r>
      <w:r>
        <w:rPr>
          <w:b/>
          <w:bCs/>
        </w:rPr>
        <w:t xml:space="preserve">set notation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predicate notation</w:t>
      </w:r>
      <w:r>
        <w:t xml:space="preserve">.</w:t>
      </w:r>
    </w:p>
    <w:bookmarkStart w:id="68" w:name="set-notation"/>
    <w:p>
      <w:pPr>
        <w:pStyle w:val="Heading4"/>
      </w:pPr>
      <w:r>
        <w:t xml:space="preserve">Set notation</w:t>
      </w:r>
    </w:p>
    <w:p>
      <w:pPr>
        <w:pStyle w:val="FirstParagraph"/>
      </w:pPr>
      <w:r>
        <w:t xml:space="preserve">In</w:t>
      </w:r>
      <w:r>
        <w:t xml:space="preserve"> </w:t>
      </w:r>
      <w:r>
        <w:rPr>
          <w:b/>
          <w:bCs/>
        </w:rPr>
        <w:t xml:space="preserve">set notation</w:t>
      </w:r>
      <w:r>
        <w:t xml:space="preserve">,</w:t>
      </w:r>
      <w:r>
        <w:t xml:space="preserve"> </w:t>
      </w:r>
      <w:r>
        <w:t xml:space="preserve">the indicator is tied to a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which appears as a subscript:</w:t>
      </w:r>
    </w:p>
    <w:p>
      <w:pPr>
        <w:pStyle w:val="Compact"/>
        <w:numPr>
          <w:ilvl w:val="0"/>
          <w:numId w:val="1019"/>
        </w:numPr>
      </w:pPr>
      <m:oMath>
        <m:sSub>
          <m:e>
            <m:r>
              <m:rPr>
                <m:sty m:val="b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(bold numeral one)</w:t>
      </w:r>
    </w:p>
    <w:p>
      <w:pPr>
        <w:pStyle w:val="Compact"/>
        <w:numPr>
          <w:ilvl w:val="0"/>
          <w:numId w:val="1019"/>
        </w:numPr>
      </w:pP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(blackboard bold numeral one)</w:t>
      </w:r>
    </w:p>
    <w:p>
      <w:pPr>
        <w:pStyle w:val="Compact"/>
        <w:numPr>
          <w:ilvl w:val="0"/>
          <w:numId w:val="1019"/>
        </w:numPr>
      </w:pPr>
      <m:oMath>
        <m:sSub>
          <m:e>
            <m:r>
              <m:t>I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(capital letter</w:t>
      </w:r>
      <w:r>
        <w:t xml:space="preserve"> </w:t>
      </w:r>
      <m:oMath>
        <m:r>
          <m:t>I</m:t>
        </m:r>
      </m:oMath>
      <w:r>
        <w:t xml:space="preserve">)</w:t>
      </w:r>
    </w:p>
    <w:p>
      <w:pPr>
        <w:pStyle w:val="Compact"/>
        <w:numPr>
          <w:ilvl w:val="0"/>
          <w:numId w:val="1019"/>
        </w:numPr>
      </w:pPr>
      <m:oMath>
        <m:sSub>
          <m:e>
            <m:r>
              <m:rPr>
                <m:scr m:val="double-struck"/>
                <m:sty m:val="p"/>
              </m:rPr>
              <m:t>I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(blackboard bold letter</w:t>
      </w:r>
      <w:r>
        <w:t xml:space="preserve"> </w:t>
      </w:r>
      <m:oMath>
        <m:r>
          <m:t>I</m:t>
        </m:r>
      </m:oMath>
      <w:r>
        <w:t xml:space="preserve">)</w:t>
      </w:r>
    </w:p>
    <w:p>
      <w:pPr>
        <w:pStyle w:val="Compact"/>
        <w:numPr>
          <w:ilvl w:val="0"/>
          <w:numId w:val="1019"/>
        </w:numPr>
      </w:pPr>
      <m:oMath>
        <m:sSub>
          <m:e>
            <m:r>
              <m:t>χ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(Greek letter chi, historically termed the</w:t>
      </w:r>
      <w:r>
        <w:t xml:space="preserve"> </w:t>
      </w:r>
      <w:r>
        <w:rPr>
          <w:i/>
          <w:iCs/>
        </w:rPr>
        <w:t xml:space="preserve">characteristic function</w:t>
      </w:r>
      <w:r>
        <w:t xml:space="preserve">)</w:t>
      </w:r>
    </w:p>
    <w:p>
      <w:pPr>
        <w:pStyle w:val="FirstParagraph"/>
      </w:pPr>
      <w:r>
        <w:t xml:space="preserve">When the function is viewed as a mathematical object in its own right</w:t>
      </w:r>
      <w:r>
        <w:t xml:space="preserve"> </w:t>
      </w:r>
      <w:r>
        <w:t xml:space="preserve">(for instance, as an element of an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function space),</w:t>
      </w:r>
      <w:r>
        <w:t xml:space="preserve"> </w:t>
      </w:r>
      <w:r>
        <w:t xml:space="preserve">authors often omit the argument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writing simply</w:t>
      </w:r>
      <w:r>
        <w:t xml:space="preserve"> </w:t>
      </w:r>
      <m:oMath>
        <m:sSub>
          <m:e>
            <m:r>
              <m:rPr>
                <m:sty m:val="b"/>
              </m:rPr>
              <m:t>1</m:t>
            </m:r>
          </m:e>
          <m:sub>
            <m:r>
              <m:t>A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, or</w:t>
      </w:r>
      <w:r>
        <w:t xml:space="preserve"> </w:t>
      </w:r>
      <m:oMath>
        <m:sSub>
          <m:e>
            <m:r>
              <m:t>I</m:t>
            </m:r>
          </m:e>
          <m:sub>
            <m:r>
              <m:t>A</m:t>
            </m:r>
          </m:sub>
        </m:sSub>
      </m:oMath>
      <w:r>
        <w:t xml:space="preserve">.</w:t>
      </w:r>
    </w:p>
    <w:bookmarkEnd w:id="68"/>
    <w:bookmarkStart w:id="69" w:name="predicate-notation"/>
    <w:p>
      <w:pPr>
        <w:pStyle w:val="Heading4"/>
      </w:pPr>
      <w:r>
        <w:t xml:space="preserve">Predicate notation</w:t>
      </w:r>
    </w:p>
    <w:p>
      <w:pPr>
        <w:pStyle w:val="FirstParagraph"/>
      </w:pPr>
      <w:r>
        <w:t xml:space="preserve">In</w:t>
      </w:r>
      <w:r>
        <w:t xml:space="preserve"> </w:t>
      </w:r>
      <w:r>
        <w:rPr>
          <w:b/>
          <w:bCs/>
        </w:rPr>
        <w:t xml:space="preserve">predicate notation</w:t>
      </w:r>
      <w:r>
        <w:t xml:space="preserve">,</w:t>
      </w:r>
      <w:r>
        <w:t xml:space="preserve"> </w:t>
      </w:r>
      <w:r>
        <w:t xml:space="preserve">the indicator takes a logical condition,</w:t>
      </w:r>
      <w:r>
        <w:t xml:space="preserve"> </w:t>
      </w:r>
      <w:r>
        <w:t xml:space="preserve">relation,</w:t>
      </w:r>
      <w:r>
        <w:t xml:space="preserve"> </w:t>
      </w:r>
      <w:r>
        <w:t xml:space="preserve">or proposition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directly as its argument or subscript:</w:t>
      </w:r>
    </w:p>
    <w:p>
      <w:pPr>
        <w:pStyle w:val="Compact"/>
        <w:numPr>
          <w:ilvl w:val="0"/>
          <w:numId w:val="1020"/>
        </w:numPr>
      </w:pPr>
      <m:oMath>
        <m:r>
          <m:rPr>
            <m:scr m:val="double-struck"/>
            <m:sty m:val="p"/>
          </m:rPr>
          <m:t>I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I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20"/>
        </w:numPr>
      </w:pPr>
      <m:oMath>
        <m:r>
          <m:rPr>
            <m:sty m:val="b"/>
          </m:rPr>
          <m:t>1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b"/>
          </m:rPr>
          <m:t>1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20"/>
        </w:numPr>
      </w:pPr>
      <m:oMath>
        <m:r>
          <m:rPr>
            <m:scr m:val="double-struck"/>
            <m:sty m:val="p"/>
          </m:rPr>
          <m:t>1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20"/>
        </w:numPr>
      </w:pPr>
      <m:oMath>
        <m:r>
          <m:rPr>
            <m:scr m:val="double-struck"/>
            <m:sty m:val="p"/>
          </m:rPr>
          <m:t>1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}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rPr>
            <m:sty m:val="p"/>
          </m:rPr>
          <m:t>{</m:t>
        </m:r>
        <m:r>
          <m:t>P</m:t>
        </m:r>
        <m:r>
          <m:rPr>
            <m:sty m:val="p"/>
          </m:rPr>
          <m:t>}</m:t>
        </m:r>
      </m:oMath>
    </w:p>
    <w:p>
      <w:pPr>
        <w:pStyle w:val="Compact"/>
        <w:numPr>
          <w:ilvl w:val="0"/>
          <w:numId w:val="1020"/>
        </w:numPr>
      </w:pPr>
      <m:oMath>
        <m:r>
          <m:t>I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</w:p>
    <w:p>
      <w:pPr>
        <w:pStyle w:val="FirstParagraph"/>
      </w:pPr>
      <w:r>
        <w:t xml:space="preserve">Predicate notation is especially common in applied statistics and survival analysis,</w:t>
      </w:r>
      <w:r>
        <w:t xml:space="preserve"> </w:t>
      </w:r>
      <w:r>
        <w:t xml:space="preserve">where indicators frequently depend on inequalities involving random variables,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T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(an event occurring before time</w:t>
      </w:r>
      <w:r>
        <w:t xml:space="preserve"> </w:t>
      </w:r>
      <m:oMath>
        <m:r>
          <m:t>t</m:t>
        </m:r>
      </m:oMath>
      <w:r>
        <w:t xml:space="preserve">)</w:t>
      </w:r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(a binary outcome).</w:t>
      </w:r>
    </w:p>
    <w:bookmarkEnd w:id="69"/>
    <w:bookmarkStart w:id="70" w:name="equivalence-between-paradigms"/>
    <w:p>
      <w:pPr>
        <w:pStyle w:val="Heading4"/>
      </w:pPr>
      <w:r>
        <w:t xml:space="preserve">Equivalence between paradigms</w:t>
      </w:r>
    </w:p>
    <w:p>
      <w:pPr>
        <w:pStyle w:val="FirstParagraph"/>
      </w:pPr>
      <w:r>
        <w:t xml:space="preserve">The two paradigms are connected by evaluating the predicate indicator</w:t>
      </w:r>
      <w:r>
        <w:t xml:space="preserve"> </w:t>
      </w:r>
      <w:r>
        <w:t xml:space="preserve">at the membership statement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"/>
                </m:rPr>
                <m:t>1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I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Set notation is more natural when the underlying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a standard name</w:t>
      </w:r>
      <w:r>
        <w:t xml:space="preserve"> </w:t>
      </w:r>
      <w:r>
        <w:t xml:space="preserve">(such as the support of a distribution or a geometric region).</w:t>
      </w:r>
      <w:r>
        <w:t xml:space="preserve"> </w:t>
      </w:r>
      <w:r>
        <w:t xml:space="preserve">Predicate notation is more natural when the condition involves compound inequalities,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≤</m:t>
            </m:r>
            <m:r>
              <m:t>t</m:t>
            </m:r>
            <m:r>
              <m:rPr>
                <m:sty m:val="p"/>
              </m:rPr>
              <m:t>≤</m:t>
            </m:r>
            <m:r>
              <m:t>u</m:t>
            </m:r>
          </m:e>
        </m:d>
        <m:r>
          <m:t>​</m:t>
        </m:r>
      </m:oMath>
      <w:r>
        <w:t xml:space="preserve">.</w:t>
      </w:r>
    </w:p>
    <w:bookmarkEnd w:id="70"/>
    <w:bookmarkEnd w:id="71"/>
    <w:bookmarkStart w:id="78" w:name="iverson-bracket-notation"/>
    <w:p>
      <w:pPr>
        <w:pStyle w:val="Heading3"/>
      </w:pPr>
      <w:r>
        <w:t xml:space="preserve">6.2 Iverson bracket notation</w:t>
      </w:r>
    </w:p>
    <w:p>
      <w:pPr>
        <w:pStyle w:val="FirstParagraph"/>
      </w:pPr>
      <w:r>
        <w:t xml:space="preserve">In 1962,</w:t>
      </w:r>
      <w:r>
        <w:t xml:space="preserve"> </w:t>
      </w:r>
      <w:r>
        <w:t xml:space="preserve">Kenneth Iverson introduced a compact notation in the programming language APL,</w:t>
      </w:r>
      <w:r>
        <w:t xml:space="preserve"> </w:t>
      </w:r>
      <w:r>
        <w:t xml:space="preserve">later popularized in mathematics and computer science by Donald Knuth:</w:t>
      </w:r>
      <w:r>
        <w:t xml:space="preserve"> </w:t>
      </w:r>
      <w:r>
        <w:t xml:space="preserve">the</w:t>
      </w:r>
      <w:r>
        <w:t xml:space="preserve"> </w:t>
      </w:r>
      <w:hyperlink r:id="rId72">
        <w:r>
          <w:rPr>
            <w:rStyle w:val="Hyperlink"/>
          </w:rPr>
          <w:t xml:space="preserve">Iverson bracket</w:t>
        </w:r>
      </w:hyperlink>
      <w:r>
        <w:t xml:space="preserve">.</w:t>
      </w:r>
    </w:p>
    <w:bookmarkStart w:id="73" w:name="def-iverson-bracket"/>
    <w:p>
      <w:pPr>
        <w:pStyle w:val="BodyText"/>
      </w:pPr>
      <w:r>
        <w:rPr>
          <w:b/>
          <w:bCs/>
        </w:rPr>
        <w:t xml:space="preserve">Definition 17 (Iverson bracket)</w:t>
      </w:r>
      <w:r>
        <w:t xml:space="preserve"> </w:t>
      </w:r>
      <w:r>
        <w:t xml:space="preserve">For any logical proposition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Iverson bracket</w:t>
      </w:r>
      <w:r>
        <w:t xml:space="preserve"> </w:t>
      </w:r>
      <w:r>
        <w:t xml:space="preserve">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[</m:t>
          </m:r>
          <m:r>
            <m:t>P</m:t>
          </m:r>
          <m:r>
            <m:rPr>
              <m:sty m:val="p"/>
            </m:rPr>
            <m:t>]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 is true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 is false</m:t>
                    </m:r>
                  </m:e>
                </m:mr>
              </m:m>
            </m:e>
          </m:d>
        </m:oMath>
      </m:oMathPara>
    </w:p>
    <w:bookmarkEnd w:id="73"/>
    <w:bookmarkStart w:id="74" w:name="exm-iverson-bracket"/>
    <w:p>
      <w:pPr>
        <w:pStyle w:val="FirstParagraph"/>
      </w:pPr>
      <w:r>
        <w:rPr>
          <w:b/>
          <w:bCs/>
        </w:rPr>
        <w:t xml:space="preserve">Example 16 (Evaluating Iverson brackets)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1"/>
        </w:numPr>
      </w:pPr>
      <m:oMath>
        <m:r>
          <m:rPr>
            <m:sty m:val="p"/>
          </m:rPr>
          <m:t>[</m:t>
        </m:r>
        <m:r>
          <m:t>3</m:t>
        </m:r>
        <m:r>
          <m:rPr>
            <m:sty m:val="p"/>
          </m:rPr>
          <m:t>&gt;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</m:t>
        </m:r>
      </m:oMath>
      <w:r>
        <w:t xml:space="preserve">, because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2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21"/>
        </w:numPr>
      </w:pPr>
      <m:oMath>
        <m:r>
          <m:rPr>
            <m:sty m:val="p"/>
          </m:rPr>
          <m:t>[</m:t>
        </m:r>
        <m:r>
          <m:t>2</m:t>
        </m:r>
        <m:r>
          <m:rPr>
            <m:sty m:val="p"/>
          </m:rPr>
          <m:t>&gt;</m:t>
        </m:r>
        <m:r>
          <m:t>3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t>2</m:t>
        </m:r>
        <m:r>
          <m:rPr>
            <m:sty m:val="p"/>
          </m:rPr>
          <m:t>&gt;</m:t>
        </m:r>
        <m:r>
          <m:t>3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21"/>
        </w:numPr>
      </w:pPr>
      <m:oMath>
        <m:r>
          <m:rPr>
            <m:sty m:val="p"/>
          </m:rPr>
          <m:t>[</m:t>
        </m:r>
        <m:r>
          <m:t>4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not an element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</w:p>
    <w:bookmarkEnd w:id="74"/>
    <w:bookmarkStart w:id="75" w:name="rem-iverson-indicator"/>
    <w:p>
      <w:pPr>
        <w:pStyle w:val="FirstParagraph"/>
      </w:pPr>
      <w:r>
        <w:rPr>
          <w:i/>
          <w:iCs/>
        </w:rPr>
        <w:t xml:space="preserve">Remark 3</w:t>
      </w:r>
      <w:r>
        <w:t xml:space="preserve"> (The Iverson bracket is the predicate indicator). </w:t>
      </w:r>
      <w:r>
        <w:t xml:space="preserve">The Iverson bracket</w:t>
      </w:r>
      <w:r>
        <w:t xml:space="preserve"> </w:t>
      </w:r>
      <m:oMath>
        <m:r>
          <m:rPr>
            <m:sty m:val="p"/>
          </m:rPr>
          <m:t>[</m:t>
        </m:r>
        <m:r>
          <m:t>P</m:t>
        </m:r>
        <m:r>
          <m:rPr>
            <m:sty m:val="p"/>
          </m:rPr>
          <m:t>]</m:t>
        </m:r>
      </m:oMath>
      <w:r>
        <w:t xml:space="preserve"> </w:t>
      </w:r>
      <w:r>
        <w:t xml:space="preserve">is the predicate indicator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indicator-function">
        <w:r>
          <w:rPr>
            <w:rStyle w:val="Hyperlink"/>
          </w:rPr>
          <w:t xml:space="preserve">Definition 16</w:t>
        </w:r>
      </w:hyperlink>
      <w:r>
        <w:t xml:space="preserve">) in different notation.</w:t>
      </w:r>
      <w:r>
        <w:t xml:space="preserve"> </w:t>
      </w:r>
      <w:r>
        <w:t xml:space="preserve">Under this notation,</w:t>
      </w:r>
      <w:r>
        <w:t xml:space="preserve"> </w:t>
      </w:r>
      <w:r>
        <w:t xml:space="preserve">set membership is written</w:t>
      </w:r>
      <w:r>
        <w:t xml:space="preserve"> </w:t>
      </w:r>
      <m:oMath>
        <m:r>
          <m:rPr>
            <m:sty m:val="p"/>
          </m:rPr>
          <m:t>[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[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]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example, the values in</w:t>
      </w:r>
      <w:r>
        <w:t xml:space="preserve"> </w:t>
      </w:r>
      <w:hyperlink w:anchor="exm-indicator-numerical">
        <w:r>
          <w:rPr>
            <w:rStyle w:val="Hyperlink"/>
          </w:rPr>
          <w:t xml:space="preserve">Example 15</w:t>
        </w:r>
      </w:hyperlink>
      <w:r>
        <w:t xml:space="preserve"> </w:t>
      </w:r>
      <w:r>
        <w:t xml:space="preserve">become</w:t>
      </w:r>
      <w:r>
        <w:t xml:space="preserve"> </w:t>
      </w:r>
      <m:oMath>
        <m:r>
          <m:rPr>
            <m:sty m:val="p"/>
          </m:rPr>
          <m:t>[</m:t>
        </m:r>
        <m:r>
          <m:t>7.2</m:t>
        </m:r>
        <m:r>
          <m:rPr>
            <m:sty m:val="p"/>
          </m:rPr>
          <m:t>&gt;</m:t>
        </m:r>
        <m:r>
          <m:t>5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7.2</m:t>
            </m:r>
            <m:r>
              <m:rPr>
                <m:sty m:val="p"/>
              </m:rPr>
              <m:t>&gt;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and,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2.1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]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−</m:t>
        </m:r>
        <m:r>
          <m:t>2.1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75"/>
    <w:bookmarkStart w:id="76" w:name="def-kronecker-delta"/>
    <w:p>
      <w:pPr>
        <w:pStyle w:val="BodyText"/>
      </w:pPr>
      <w:r>
        <w:rPr>
          <w:b/>
          <w:bCs/>
        </w:rPr>
        <w:t xml:space="preserve">Definition 18 (Kronecker delta)</w:t>
      </w:r>
      <w:r>
        <w:t xml:space="preserve"> </w:t>
      </w:r>
      <w:r>
        <w:t xml:space="preserve">For integers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Kronecker delta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δ</m:t>
              </m:r>
            </m:e>
            <m:sub>
              <m:r>
                <m:t>i</m:t>
              </m:r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[</m:t>
          </m:r>
          <m:r>
            <m:t>i</m:t>
          </m:r>
          <m:r>
            <m:rPr>
              <m:sty m:val="p"/>
            </m:rPr>
            <m:t>=</m:t>
          </m:r>
          <m:r>
            <m:t>j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that is,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 </w:t>
      </w:r>
      <w:r>
        <w:t xml:space="preserve">(</w:t>
      </w:r>
      <w:hyperlink w:anchor="def-iverson-bracket">
        <w:r>
          <w:rPr>
            <w:rStyle w:val="Hyperlink"/>
          </w:rPr>
          <w:t xml:space="preserve">Definition 17</w:t>
        </w:r>
      </w:hyperlink>
      <w:r>
        <w:t xml:space="preserve">).</w:t>
      </w:r>
    </w:p>
    <w:bookmarkEnd w:id="76"/>
    <w:bookmarkStart w:id="77" w:name="exm-kronecker-delta"/>
    <w:p>
      <w:pPr>
        <w:pStyle w:val="BodyText"/>
      </w:pPr>
      <w:r>
        <w:rPr>
          <w:b/>
          <w:bCs/>
        </w:rPr>
        <w:t xml:space="preserve">Example 17 (Evaluating the Kronecker delta)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2"/>
        </w:numPr>
      </w:pPr>
      <m:oMath>
        <m:sSub>
          <m:e>
            <m:r>
              <m:t>δ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22"/>
        </w:numPr>
      </w:pPr>
      <m:oMath>
        <m:sSub>
          <m:e>
            <m:r>
              <m:t>δ</m:t>
            </m:r>
          </m:e>
          <m:sub>
            <m:r>
              <m:t>12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22"/>
        </w:numPr>
      </w:pPr>
      <m:oMath>
        <m:sSub>
          <m:e>
            <m:r>
              <m:t>δ</m:t>
            </m:r>
          </m:e>
          <m:sub>
            <m:r>
              <m:t>22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[</m:t>
        </m:r>
        <m:r>
          <m:t>2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22"/>
        </w:numPr>
      </w:pPr>
      <m:oMath>
        <m:sSub>
          <m:e>
            <m:r>
              <m:t>δ</m:t>
            </m:r>
          </m:e>
          <m:sub>
            <m:r>
              <m:t>23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[</m:t>
        </m:r>
        <m:r>
          <m:t>2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77"/>
    <w:bookmarkEnd w:id="78"/>
    <w:bookmarkStart w:id="81" w:name="Xd6f58182005cccf55080a628cd9152d2b1165ed"/>
    <w:p>
      <w:pPr>
        <w:pStyle w:val="Heading3"/>
      </w:pPr>
      <w:r>
        <w:t xml:space="preserve">6.3 Strengths and limitations of the Iverson bracket</w:t>
      </w:r>
    </w:p>
    <w:p>
      <w:pPr>
        <w:pStyle w:val="FirstParagraph"/>
      </w:pPr>
      <w:r>
        <w:t xml:space="preserve">The primary advantage of the Iverson bracket is algebraic conciseness:</w:t>
      </w:r>
      <w:r>
        <w:t xml:space="preserve"> </w:t>
      </w:r>
      <w:r>
        <w:t xml:space="preserve">it turns a sum or integral over a subset</w:t>
      </w:r>
      <w:r>
        <w:t xml:space="preserve"> </w:t>
      </w:r>
      <w:r>
        <w:t xml:space="preserve">into a sum or integral over a larger, fixed set.</w:t>
      </w:r>
      <w:r>
        <w:t xml:space="preserve"> </w:t>
      </w:r>
      <w:r>
        <w:t xml:space="preserve">For example,</w:t>
      </w:r>
      <w:r>
        <w:t xml:space="preserve"> </w:t>
      </w:r>
      <w:r>
        <w:t xml:space="preserve">if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a</w:t>
      </w:r>
      <w:r>
        <w:t xml:space="preserve"> </w:t>
      </w:r>
      <w:hyperlink r:id="rId79">
        <w:r>
          <w:rPr>
            <w:rStyle w:val="Hyperlink"/>
          </w:rPr>
          <w:t xml:space="preserve">finite set</w:t>
        </w:r>
      </w:hyperlink>
      <w:r>
        <w:t xml:space="preserve"> </w:t>
      </w:r>
      <w:r>
        <w:t xml:space="preserve">that contains</w:t>
      </w:r>
      <w:r>
        <w:t xml:space="preserve"> </w:t>
      </w:r>
      <m:oMath>
        <m:r>
          <m:t>A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t>U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[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, and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both sides equal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pStyle w:val="BodyText"/>
      </w:pPr>
      <w:r>
        <w:t xml:space="preserve">However,</w:t>
      </w:r>
      <w:r>
        <w:t xml:space="preserve"> </w:t>
      </w:r>
      <w:r>
        <w:t xml:space="preserve">in statistics and epidemiology,</w:t>
      </w:r>
      <w:r>
        <w:t xml:space="preserve"> </w:t>
      </w:r>
      <w:r>
        <w:t xml:space="preserve">square brackets are already heavily overloaded:</w:t>
      </w:r>
      <w:r>
        <w:t xml:space="preserve"> </w:t>
      </w:r>
      <w:r>
        <w:t xml:space="preserve">they denote</w:t>
      </w:r>
      <w:r>
        <w:t xml:space="preserve"> </w:t>
      </w:r>
      <w:hyperlink r:id="rId80">
        <w:r>
          <w:rPr>
            <w:rStyle w:val="Hyperlink"/>
          </w:rPr>
          <w:t xml:space="preserve">closed intervals</w:t>
        </w:r>
      </w:hyperlink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conditional expectations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matrix delimiters.</w:t>
      </w:r>
      <w:r>
        <w:t xml:space="preserve"> </w:t>
      </w:r>
      <w:r>
        <w:t xml:space="preserve">To prevent visual confusion with expectation brackets or intervals,</w:t>
      </w:r>
      <w:r>
        <w:t xml:space="preserve"> </w:t>
      </w:r>
      <w:r>
        <w:t xml:space="preserve">statistical literature predominantly uses</w:t>
      </w:r>
      <w:r>
        <w:t xml:space="preserve"> </w:t>
      </w:r>
      <m:oMath>
        <m:r>
          <m:rPr>
            <m:scr m:val="double-struck"/>
            <m:sty m:val="p"/>
          </m:rP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rather than the bare Iverson bracket.</w:t>
      </w:r>
    </w:p>
    <w:bookmarkEnd w:id="81"/>
    <w:bookmarkStart w:id="83" w:name="summary-of-indicator-notations"/>
    <w:p>
      <w:pPr>
        <w:pStyle w:val="Heading3"/>
      </w:pPr>
      <w:r>
        <w:t xml:space="preserve">6.4 Summary of indicator notations</w:t>
      </w:r>
    </w:p>
    <w:p>
      <w:pPr>
        <w:pStyle w:val="FirstParagraph"/>
      </w:pPr>
      <w:hyperlink w:anchor="tbl-indicator-notations">
        <w:r>
          <w:rPr>
            <w:rStyle w:val="Hyperlink"/>
          </w:rPr>
          <w:t xml:space="preserve">Table 2</w:t>
        </w:r>
      </w:hyperlink>
      <w:r>
        <w:t xml:space="preserve"> </w:t>
      </w:r>
      <w:r>
        <w:t xml:space="preserve">compares the major notations encountered across the literature.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2" w:name="tbl-indicator-notatio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Notations for indicator functions across mathematical and statistical literature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64"/>
              <w:gridCol w:w="1564"/>
              <w:gridCol w:w="1564"/>
              <w:gridCol w:w="3226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Notation style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Typical syntax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Primary fields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Notes and potential ambiguities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Blackboard bold 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rPr>
                            <m:scr m:val="double-struck"/>
                            <m:sty m:val="p"/>
                          </m:rPr>
                          <m:t>1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cr m:val="double-struck"/>
                        <m:sty m:val="p"/>
                      </m:rPr>
                      <m:t>1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Modern probability, mathematical statistics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Unambiguous; distinct from matrices and scalars; standard in this book.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Bold numeral 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rPr>
                            <m:sty m:val="b"/>
                          </m:rPr>
                          <m:t>1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ty m:val="b"/>
                      </m:rPr>
                      <m:t>1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Probability theory, measure theory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Can be confused with a vector of ones</w:t>
                  </w:r>
                  <w:r>
                    <w:t xml:space="preserve"> </w:t>
                  </w:r>
                  <m:oMath>
                    <m:r>
                      <m:rPr>
                        <m:sty m:val="b"/>
                      </m:rPr>
                      <m:t>1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Blackboard bold 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cr m:val="double-struck"/>
                        <m:sty m:val="p"/>
                      </m:rPr>
                      <m:t>I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cr m:val="double-struck"/>
                        <m:sty m:val="p"/>
                      </m:rPr>
                      <m:t>I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Econometrics, machine learning, statistics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Clear predicate notation; avoids confusion with numerals.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Letter</w:t>
                  </w:r>
                  <w:r>
                    <w:rPr>
                      <w:b/>
                      <w:bCs/>
                    </w:rPr>
                    <w:t xml:space="preserve"> </w:t>
                  </w:r>
                  <m:oMath>
                    <m:r>
                      <m:t>I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t>I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t>I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Classical statistics, epidemiology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Can be confused with the identity matrix</w:t>
                  </w:r>
                  <w:r>
                    <w:t xml:space="preserve"> </w:t>
                  </w:r>
                  <m:oMath>
                    <m:r>
                      <m:t>I</m:t>
                    </m:r>
                  </m:oMath>
                  <w:r>
                    <w:t xml:space="preserve"> </w:t>
                  </w:r>
                  <w:r>
                    <w:t xml:space="preserve">or Fisher information</w:t>
                  </w:r>
                  <w:r>
                    <w:t xml:space="preserve"> </w:t>
                  </w: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Iverson bracket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[</m:t>
                    </m:r>
                    <m:r>
                      <m:t>P</m:t>
                    </m:r>
                    <m:r>
                      <m:rPr>
                        <m:sty m:val="p"/>
                      </m:rPr>
                      <m:t>]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[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Computer science, discrete mathematics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Very compact, but square brackets collide with intervals and expectation brackets.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Greek letter</w:t>
                  </w:r>
                  <w:r>
                    <w:rPr>
                      <w:b/>
                      <w:bCs/>
                    </w:rPr>
                    <w:t xml:space="preserve"> </w:t>
                  </w:r>
                  <m:oMath>
                    <m:r>
                      <m:t>χ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t>χ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Real analysis, measure theory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Often termed</w:t>
                  </w:r>
                  <w:r>
                    <w:t xml:space="preserve"> </w:t>
                  </w:r>
                  <w:r>
                    <w:t xml:space="preserve">“characteristic function”</w:t>
                  </w:r>
                  <w:r>
                    <w:t xml:space="preserve">; collides with the Fourier transform in probability.</w:t>
                  </w:r>
                </w:p>
              </w:tc>
            </w:tr>
          </w:tbl>
          <w:bookmarkEnd w:id="82"/>
          <w:p/>
        </w:tc>
      </w:tr>
    </w:tbl>
    <w:bookmarkEnd w:id="83"/>
    <w:bookmarkStart w:id="84" w:name="conventions-in-this-book"/>
    <w:p>
      <w:pPr>
        <w:pStyle w:val="Heading3"/>
      </w:pPr>
      <w:r>
        <w:t xml:space="preserve">6.5 Conventions in this book</w:t>
      </w:r>
    </w:p>
    <w:p>
      <w:pPr>
        <w:pStyle w:val="FirstParagraph"/>
      </w:pPr>
      <w:r>
        <w:t xml:space="preserve">In these notes,</w:t>
      </w:r>
      <w:r>
        <w:t xml:space="preserve"> </w:t>
      </w:r>
      <w:r>
        <w:t xml:space="preserve">we standardize on blackboard bold</w:t>
      </w:r>
      <w:r>
        <w:t xml:space="preserve"> </w:t>
      </w:r>
      <m:oMath>
        <m:r>
          <m:rPr>
            <m:scr m:val="double-struck"/>
            <m:sty m:val="p"/>
          </m:rPr>
          <m:t>1</m:t>
        </m:r>
      </m:oMath>
      <w:r>
        <w:t xml:space="preserve"> </w:t>
      </w:r>
      <w:r>
        <w:t xml:space="preserve">via the macros defined in</w:t>
      </w:r>
      <w:r>
        <w:t xml:space="preserve"> </w:t>
      </w:r>
      <w:r>
        <w:rPr>
          <w:rStyle w:val="VerbatimChar"/>
        </w:rPr>
        <w:t xml:space="preserve">latex-macros/macros.qmd</w:t>
      </w:r>
      <w:r>
        <w:t xml:space="preserve">:</w:t>
      </w:r>
    </w:p>
    <w:p>
      <w:pPr>
        <w:pStyle w:val="Compact"/>
        <w:numPr>
          <w:ilvl w:val="0"/>
          <w:numId w:val="1023"/>
        </w:numPr>
      </w:pPr>
      <w:r>
        <w:rPr>
          <w:rStyle w:val="VerbatimChar"/>
        </w:rPr>
        <w:t xml:space="preserve">\indic{A}</w:t>
      </w:r>
      <w:r>
        <w:t xml:space="preserve"> </w:t>
      </w:r>
      <w:r>
        <w:t xml:space="preserve">produces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(set subscript)</w:t>
      </w:r>
    </w:p>
    <w:p>
      <w:pPr>
        <w:pStyle w:val="Compact"/>
        <w:numPr>
          <w:ilvl w:val="0"/>
          <w:numId w:val="1023"/>
        </w:numPr>
      </w:pPr>
      <w:r>
        <w:rPr>
          <w:rStyle w:val="VerbatimChar"/>
        </w:rPr>
        <w:t xml:space="preserve">\indicp{P}</w:t>
      </w:r>
      <w:r>
        <w:t xml:space="preserve"> </w:t>
      </w:r>
      <w:r>
        <w:t xml:space="preserve">produces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(predicate in parentheses)</w:t>
      </w:r>
    </w:p>
    <w:p>
      <w:pPr>
        <w:pStyle w:val="Compact"/>
        <w:numPr>
          <w:ilvl w:val="0"/>
          <w:numId w:val="1023"/>
        </w:numPr>
      </w:pPr>
      <w:r>
        <w:rPr>
          <w:rStyle w:val="VerbatimChar"/>
        </w:rPr>
        <w:t xml:space="preserve">\indiccb{P}</w:t>
      </w:r>
      <w:r>
        <w:t xml:space="preserve"> </w:t>
      </w:r>
      <w:r>
        <w:t xml:space="preserve">produces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(predicate in curly braces)</w:t>
      </w:r>
    </w:p>
    <w:p>
      <w:pPr>
        <w:pStyle w:val="Compact"/>
        <w:numPr>
          <w:ilvl w:val="0"/>
          <w:numId w:val="1023"/>
        </w:numPr>
      </w:pPr>
      <w:r>
        <w:rPr>
          <w:rStyle w:val="VerbatimChar"/>
        </w:rPr>
        <w:t xml:space="preserve">\1{P}</w:t>
      </w:r>
      <w:r>
        <w:t xml:space="preserve"> </w:t>
      </w:r>
      <w:r>
        <w:t xml:space="preserve">produces</w:t>
      </w:r>
      <w:r>
        <w:t xml:space="preserve"> </w:t>
      </w:r>
      <m:oMath>
        <m:sSub>
          <m:e>
            <m:r>
              <m:rPr>
                <m:nor/>
                <m:sty m:val="p"/>
              </m:rPr>
              <m:t>1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(text numeral with subscript, used in legacy formulas)</w:t>
      </w:r>
    </w:p>
    <w:p>
      <w:pPr>
        <w:pStyle w:val="FirstParagraph"/>
      </w:pPr>
      <w:r>
        <w:t xml:space="preserve">Blackboard bold</w:t>
      </w:r>
      <w:r>
        <w:t xml:space="preserve"> </w:t>
      </w:r>
      <m:oMath>
        <m:r>
          <m:rPr>
            <m:scr m:val="double-struck"/>
            <m:sty m:val="p"/>
          </m:rPr>
          <m:t>1</m:t>
        </m:r>
      </m:oMath>
      <w:r>
        <w:t xml:space="preserve"> </w:t>
      </w:r>
      <w:r>
        <w:t xml:space="preserve">is preferred because it avoids all common collisions:</w:t>
      </w:r>
      <w:r>
        <w:t xml:space="preserve"> </w:t>
      </w:r>
      <w:r>
        <w:t xml:space="preserve">it is visually distinct from the scalar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the identity matrix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the information matrices (</w:t>
      </w:r>
      <m:oMath>
        <m:r>
          <m:t>I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I</m:t>
        </m:r>
      </m:oMath>
      <w:r>
        <w:t xml:space="preserve">).</w:t>
      </w:r>
    </w:p>
    <w:bookmarkEnd w:id="84"/>
    <w:bookmarkStart w:id="87" w:name="key-algebraic-properties"/>
    <w:p>
      <w:pPr>
        <w:pStyle w:val="Heading3"/>
      </w:pPr>
      <w:r>
        <w:t xml:space="preserve">6.6 Key algebraic properties</w:t>
      </w:r>
    </w:p>
    <w:p>
      <w:pPr>
        <w:pStyle w:val="FirstParagraph"/>
      </w:pPr>
      <w:r>
        <w:t xml:space="preserve">Indicator functions translate logical operations on events into ordinary arithmetic on real numbers:</w:t>
      </w:r>
    </w:p>
    <w:p>
      <w:pPr>
        <w:pStyle w:val="BodyText"/>
      </w:pPr>
      <w:r>
        <w:t xml:space="preserve">For subsets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85">
        <w:r>
          <w:rPr>
            <w:rStyle w:val="Hyperlink"/>
          </w:rPr>
          <w:t xml:space="preserve">complement</w:t>
        </w:r>
      </w:hyperlink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Ω</m:t>
        </m:r>
        <m:r>
          <m:rPr>
            <m:sty m:val="p"/>
          </m:rPr>
          <m:t>\</m:t>
        </m:r>
        <m:r>
          <m:t>A</m:t>
        </m:r>
      </m:oMath>
      <w:r>
        <w:t xml:space="preserve">,</w:t>
      </w:r>
      <w:r>
        <w:t xml:space="preserve"> </w:t>
      </w:r>
      <w:r>
        <w:t xml:space="preserve">and 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Ω</m:t>
        </m:r>
      </m:oMath>
      <w:r>
        <w:t xml:space="preserve">:</w:t>
      </w:r>
    </w:p>
    <w:p>
      <w:pPr>
        <w:numPr>
          <w:ilvl w:val="0"/>
          <w:numId w:val="1024"/>
        </w:numPr>
      </w:pPr>
      <w:r>
        <w:rPr>
          <w:b/>
          <w:bCs/>
        </w:rPr>
        <w:t xml:space="preserve">Intersection (</w:t>
      </w:r>
      <w:r>
        <w:rPr>
          <w:b/>
          <w:bCs/>
        </w:rPr>
        <w:t xml:space="preserve">“and”</w:t>
      </w:r>
      <w:r>
        <w:rPr>
          <w:b/>
          <w:bCs/>
        </w:rPr>
        <w:t xml:space="preserve">):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  <m:r>
              <m:rPr>
                <m:sty m:val="p"/>
              </m:rPr>
              <m:t>∩</m:t>
            </m:r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numPr>
          <w:ilvl w:val="0"/>
          <w:numId w:val="1024"/>
        </w:numPr>
      </w:pPr>
      <w:r>
        <w:rPr>
          <w:b/>
          <w:bCs/>
        </w:rPr>
        <w:t xml:space="preserve">Union (</w:t>
      </w:r>
      <w:r>
        <w:rPr>
          <w:b/>
          <w:bCs/>
        </w:rPr>
        <w:t xml:space="preserve">“or”</w:t>
      </w:r>
      <w:r>
        <w:rPr>
          <w:b/>
          <w:bCs/>
        </w:rPr>
        <w:t xml:space="preserve">):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  <m:r>
              <m:rPr>
                <m:sty m:val="p"/>
              </m:rPr>
              <m:t>∪</m:t>
            </m:r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numPr>
          <w:ilvl w:val="0"/>
          <w:numId w:val="1024"/>
        </w:numPr>
      </w:pPr>
      <w:r>
        <w:rPr>
          <w:b/>
          <w:bCs/>
        </w:rPr>
        <w:t xml:space="preserve">Complement (</w:t>
      </w:r>
      <w:r>
        <w:rPr>
          <w:b/>
          <w:bCs/>
        </w:rPr>
        <w:t xml:space="preserve">“not”</w:t>
      </w:r>
      <w:r>
        <w:rPr>
          <w:b/>
          <w:bCs/>
        </w:rPr>
        <w:t xml:space="preserve">):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sSup>
              <m:e>
                <m:r>
                  <m:t>A</m:t>
                </m:r>
              </m:e>
              <m:sup>
                <m:r>
                  <m:t>c</m:t>
                </m:r>
              </m:sup>
            </m:sSup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numPr>
          <w:ilvl w:val="0"/>
          <w:numId w:val="1024"/>
        </w:numPr>
      </w:pPr>
      <w:r>
        <w:rPr>
          <w:b/>
          <w:bCs/>
        </w:rPr>
        <w:t xml:space="preserve">Idempotence: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numPr>
          <w:ilvl w:val="0"/>
          <w:numId w:val="1024"/>
        </w:numPr>
      </w:pPr>
      <w:r>
        <w:rPr>
          <w:b/>
          <w:bCs/>
        </w:rPr>
        <w:t xml:space="preserve">Expectation gives probability:</w:t>
      </w:r>
      <w:r>
        <w:t xml:space="preserve"> </w:t>
      </w:r>
      <w:r>
        <w:t xml:space="preserve">For any event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 its indicator is the probability of the event: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rPr>
              <m:sty m:val="p"/>
            </m:rPr>
            <m:t>[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⋅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p>
            <m:e>
              <m:r>
                <m:t>A</m:t>
              </m:r>
            </m:e>
            <m:sup>
              <m:r>
                <m:t>c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⋅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This fundamental</w:t>
      </w:r>
      <w:r>
        <w:t xml:space="preserve"> </w:t>
      </w:r>
      <w:hyperlink r:id="rId86">
        <w:r>
          <w:rPr>
            <w:rStyle w:val="Hyperlink"/>
          </w:rPr>
          <w:t xml:space="preserve">identity</w:t>
        </w:r>
      </w:hyperlink>
      <w:r>
        <w:t xml:space="preserve"> </w:t>
      </w:r>
      <w:r>
        <w:t xml:space="preserve">connects probability theory directly to linear expectation.</w:t>
      </w:r>
      <w:r>
        <w:t xml:space="preserve"> </w:t>
      </w:r>
      <w:r>
        <w:t xml:space="preserve">It provides the mathematical foundation for empirical proportions,</w:t>
      </w:r>
      <w:r>
        <w:t xml:space="preserve"> </w:t>
      </w:r>
      <w:r>
        <w:t xml:space="preserve">survival curve estimators,</w:t>
      </w:r>
      <w:r>
        <w:t xml:space="preserve"> </w:t>
      </w:r>
      <w:r>
        <w:t xml:space="preserve">and regression models for binary outcomes.</w:t>
      </w:r>
    </w:p>
    <w:bookmarkEnd w:id="87"/>
    <w:bookmarkEnd w:id="88"/>
    <w:bookmarkStart w:id="102" w:name="sec-notational-shorthands"/>
    <w:p>
      <w:pPr>
        <w:pStyle w:val="Heading2"/>
      </w:pPr>
      <w:r>
        <w:t xml:space="preserve">7 Notational shorthands</w:t>
      </w:r>
    </w:p>
    <w:bookmarkStart w:id="89" w:name="def-notational-shorthand"/>
    <w:p>
      <w:pPr>
        <w:pStyle w:val="FirstParagraph"/>
      </w:pPr>
      <w:r>
        <w:rPr>
          <w:b/>
          <w:bCs/>
        </w:rPr>
        <w:t xml:space="preserve">Definition 19 (Notational shorthand)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notational shorthand</w:t>
      </w:r>
      <w:r>
        <w:t xml:space="preserve"> </w:t>
      </w:r>
      <w:r>
        <w:t xml:space="preserve">is a way of writing an expression</w:t>
      </w:r>
      <w:r>
        <w:t xml:space="preserve"> </w:t>
      </w:r>
      <w:r>
        <w:t xml:space="preserve">that leaves part of the expression out,</w:t>
      </w:r>
      <w:r>
        <w:t xml:space="preserve"> </w:t>
      </w:r>
      <w:r>
        <w:t xml:space="preserve">such as the set a sum runs over or the limits of an integral,</w:t>
      </w:r>
      <w:r>
        <w:t xml:space="preserve"> </w:t>
      </w:r>
      <w:r>
        <w:t xml:space="preserve">and relies on the reader to supply the missing part from context.</w:t>
      </w:r>
      <w:r>
        <w:t xml:space="preserve"> </w:t>
      </w:r>
      <w:r>
        <w:t xml:space="preserve">The expression with every part written out is its</w:t>
      </w:r>
      <w:r>
        <w:t xml:space="preserve"> </w:t>
      </w:r>
      <w:r>
        <w:rPr>
          <w:b/>
          <w:bCs/>
        </w:rPr>
        <w:t xml:space="preserve">full form</w:t>
      </w:r>
      <w:r>
        <w:t xml:space="preserve">.</w:t>
      </w:r>
    </w:p>
    <w:bookmarkEnd w:id="89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9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These notes write the full form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these notes,</w:t>
            </w:r>
            <w:r>
              <w:t xml:space="preserve"> </w:t>
            </w:r>
            <w:r>
              <w:t xml:space="preserve">we avoid notational shorthands in permanent writing</w:t>
            </w:r>
            <w:r>
              <w:t xml:space="preserve"> </w:t>
            </w:r>
            <w:r>
              <w:t xml:space="preserve">and write the full form of each expression,</w:t>
            </w:r>
            <w:r>
              <w:t xml:space="preserve"> </w:t>
            </w:r>
            <w:r>
              <w:t xml:space="preserve">even where a shorthand would be shorter.</w:t>
            </w:r>
            <w:r>
              <w:t xml:space="preserve"> </w:t>
            </w:r>
            <w:r>
              <w:t xml:space="preserve">A reader who supplies the missing part of a shorthand</w:t>
            </w:r>
            <w:r>
              <w:t xml:space="preserve"> </w:t>
            </w:r>
            <w:r>
              <w:t xml:space="preserve">from a different context than the writer intended</w:t>
            </w:r>
            <w:r>
              <w:t xml:space="preserve"> </w:t>
            </w:r>
            <w:r>
              <w:t xml:space="preserve">reads a different expression than the one the writer meant.</w:t>
            </w:r>
            <w:r>
              <w:t xml:space="preserve"> </w:t>
            </w:r>
            <w:r>
              <w:t xml:space="preserve">Handwritten board work is often less complete,</w:t>
            </w:r>
            <w:r>
              <w:t xml:space="preserve"> </w:t>
            </w:r>
            <w:r>
              <w:t xml:space="preserve">but it should still write out ranges and limits where it can.</w:t>
            </w:r>
          </w:p>
          <w:p>
            <w:pPr>
              <w:pStyle w:val="BodyText"/>
            </w:pPr>
            <w:r>
              <w:t xml:space="preserve">We make one exception:</w:t>
            </w:r>
            <w:r>
              <w:t xml:space="preserve"> </w:t>
            </w:r>
            <w:r>
              <w:t xml:space="preserve">writing two factors side by side means multiplying them,</w:t>
            </w:r>
            <w:r>
              <w:t xml:space="preserve"> </w:t>
            </w:r>
            <w:r>
              <w:t xml:space="preserve">as in</w:t>
            </w:r>
            <w:r>
              <w:t xml:space="preserve"> </w:t>
            </w:r>
            <m:oMath>
              <m:r>
                <m:t>2</m:t>
              </m:r>
              <m:r>
                <m:t>x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⋅</m:t>
              </m:r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  <m:r>
                <m:t>b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We still write the multiplication sign</w:t>
            </w:r>
            <w:r>
              <w:t xml:space="preserve"> </w:t>
            </w:r>
            <w:r>
              <w:t xml:space="preserve">when the side-by-side form could be misread:</w:t>
            </w:r>
          </w:p>
          <w:p>
            <w:pPr>
              <w:pStyle w:val="Compact"/>
              <w:numPr>
                <w:ilvl w:val="0"/>
                <w:numId w:val="1025"/>
              </w:numPr>
            </w:pPr>
            <m:oMath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</m:oMath>
            <w:r>
              <w:t xml:space="preserve">, not</w:t>
            </w:r>
            <w:r>
              <w:t xml:space="preserve"> </w:t>
            </w:r>
            <m:oMath>
              <m:r>
                <m:t>23</m:t>
              </m:r>
            </m:oMath>
            <w:r>
              <w:t xml:space="preserve">, which reads as twenty-three;</w:t>
            </w:r>
          </w:p>
          <w:p>
            <w:pPr>
              <w:pStyle w:val="Compact"/>
              <w:numPr>
                <w:ilvl w:val="0"/>
                <w:numId w:val="1025"/>
              </w:numPr>
            </w:pPr>
            <m:oMath>
              <m:r>
                <m:t>a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could be a function,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could mean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evaluated at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.</w:t>
            </w:r>
          </w:p>
          <w:p/>
        </w:tc>
      </w:tr>
    </w:tbl>
    <w:bookmarkStart w:id="92" w:name="def-range-of-variable"/>
    <w:p>
      <w:pPr>
        <w:pStyle w:val="FirstParagraph"/>
      </w:pPr>
      <w:r>
        <w:rPr>
          <w:b/>
          <w:bCs/>
        </w:rPr>
        <w:t xml:space="preserve">Definition 20 (Range of a variable)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range</w:t>
      </w:r>
      <w:r>
        <w:t xml:space="preserve"> </w:t>
      </w:r>
      <w:r>
        <w:t xml:space="preserve">of a variable</w:t>
      </w:r>
      <w:r>
        <w:t xml:space="preserve"> </w:t>
      </w:r>
      <m:oMath>
        <m:r>
          <m:t>x</m:t>
        </m:r>
      </m:oMath>
      <w:r>
        <w:t xml:space="preserve">, written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set of values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take.</w:t>
      </w:r>
    </w:p>
    <w:bookmarkEnd w:id="92"/>
    <w:p>
      <w:pPr>
        <w:pStyle w:val="BodyText"/>
      </w:pPr>
      <w:r>
        <w:t xml:space="preserve">For example,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number of heads in two tosses of a coin,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66">
        <w:r>
          <w:rPr>
            <w:rStyle w:val="Hyperlink"/>
          </w:rPr>
          <w:t xml:space="preserve">random variable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is a</w:t>
      </w:r>
      <w:r>
        <w:t xml:space="preserve"> </w:t>
      </w:r>
      <w:hyperlink r:id="rId93">
        <w:r>
          <w:rPr>
            <w:rStyle w:val="Hyperlink"/>
          </w:rPr>
          <w:t xml:space="preserve">function</w:t>
        </w:r>
      </w:hyperlink>
      <w:r>
        <w:t xml:space="preserve">,</w:t>
      </w:r>
      <w:r>
        <w:t xml:space="preserve"> </w:t>
      </w:r>
      <w:r>
        <w:t xml:space="preserve">and the set of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94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These notes use</w:t>
      </w:r>
      <w:r>
        <w:t xml:space="preserve"> </w:t>
      </w:r>
      <w:r>
        <w:t xml:space="preserve">“range”</w:t>
      </w:r>
      <w:r>
        <w:t xml:space="preserve"> </w:t>
      </w:r>
      <w:r>
        <w:t xml:space="preserve">only for variables:</w:t>
      </w:r>
      <w:r>
        <w:t xml:space="preserve"> </w:t>
      </w:r>
      <w:r>
        <w:t xml:space="preserve">for a function,</w:t>
      </w:r>
      <w:r>
        <w:t xml:space="preserve"> </w:t>
      </w:r>
      <w:r>
        <w:t xml:space="preserve">“range”</w:t>
      </w:r>
      <w:r>
        <w:t xml:space="preserve"> </w:t>
      </w:r>
      <w:r>
        <w:t xml:space="preserve">can mean either the image or the codomain</w:t>
      </w:r>
      <w:r>
        <w:t xml:space="preserve"> </w:t>
      </w:r>
      <w:r>
        <w:t xml:space="preserve">(</w:t>
      </w:r>
      <w:hyperlink r:id="rId95">
        <w:r>
          <w:rPr>
            <w:rStyle w:val="Hyperlink"/>
          </w:rPr>
          <w:t xml:space="preserve">Image and range</w:t>
        </w:r>
      </w:hyperlink>
      <w:r>
        <w:t xml:space="preserve">).</w:t>
      </w:r>
      <w:r>
        <w:t xml:space="preserve"> </w:t>
      </w:r>
      <w:r>
        <w:t xml:space="preserve">In statistics,</w:t>
      </w:r>
      <w:r>
        <w:t xml:space="preserve"> </w:t>
      </w:r>
      <w:r>
        <w:t xml:space="preserve">“the range”</w:t>
      </w:r>
      <w:r>
        <w:t xml:space="preserve"> </w:t>
      </w:r>
      <w:r>
        <w:t xml:space="preserve">of a dataset can also mean</w:t>
      </w:r>
      <w:r>
        <w:t xml:space="preserve"> </w:t>
      </w:r>
      <w:r>
        <w:t xml:space="preserve">its largest value minus its smallest value;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set, not that difference.</w:t>
      </w:r>
    </w:p>
    <w:p>
      <w:pPr>
        <w:pStyle w:val="BodyText"/>
      </w:pPr>
      <w:hyperlink w:anchor="tbl-notational-shorthands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lists shorthands you may meet in other sources,</w:t>
      </w:r>
      <w:r>
        <w:t xml:space="preserve"> </w:t>
      </w:r>
      <w:r>
        <w:t xml:space="preserve">the full form each one abbreviates,</w:t>
      </w:r>
      <w:r>
        <w:t xml:space="preserve"> </w:t>
      </w:r>
      <w:r>
        <w:t xml:space="preserve">and the part each one leaves out.</w:t>
      </w:r>
      <w:r>
        <w:t xml:space="preserve"> </w:t>
      </w:r>
      <w:r>
        <w:t xml:space="preserve">In the table,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numbers,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is the entry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array,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an integer with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hyperlink r:id="rId93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from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and, in the first row,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finite set.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8" w:name="tbl-notational-shorthand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Common notational shorthands and their full forms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354"/>
              <w:gridCol w:w="2354"/>
              <w:gridCol w:w="321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Shorthand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Full form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Part left out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set the sum runs over (</w:t>
                  </w:r>
                  <w:hyperlink r:id="rId96">
                    <w:r>
                      <w:rPr>
                        <w:rStyle w:val="Hyperlink"/>
                      </w:rPr>
                      <w:t xml:space="preserve">sum over a finite set</w:t>
                    </w:r>
                  </w:hyperlink>
                  <w:r>
                    <w:t xml:space="preserve">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lower and upper limits of the index (</w:t>
                  </w:r>
                  <w:hyperlink r:id="rId97">
                    <w:r>
                      <w:rPr>
                        <w:rStyle w:val="Hyperlink"/>
                      </w:rPr>
                      <w:t xml:space="preserve">summation notation</w:t>
                    </w:r>
                  </w:hyperlink>
                  <w:r>
                    <w:t xml:space="preserve">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∑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index and its lower and upper limits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∏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lower and upper limits of the index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∏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index and its lower and upper limits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j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b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m</m:t>
                        </m:r>
                      </m:sup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j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b</m:t>
                                </m:r>
                              </m:e>
                              <m:sub>
                                <m:r>
                                  <m:t>i</m:t>
                                </m:r>
                                <m:r>
                                  <m:t>j</m:t>
                                </m:r>
                              </m:sub>
                            </m:sSub>
                          </m:e>
                        </m:nary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limits of both indices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≠</m:t>
                        </m:r>
                        <m:r>
                          <m:t>k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rPr>
                                <m:sty m:val="p"/>
                              </m:rPr>
                              <m:t>…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n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\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k</m:t>
                            </m:r>
                          </m:e>
                        </m:d>
                        <m:r>
                          <m:t>​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set</w:t>
                  </w:r>
                  <w:r>
                    <w:t xml:space="preserve"> </w:t>
                  </w:r>
                  <m:oMath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rPr>
                            <m:sty m:val="p"/>
                          </m:rPr>
                          <m:t>…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n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 </w:t>
                  </w:r>
                  <w:r>
                    <w:t xml:space="preserve">of indices that</w:t>
                  </w:r>
                  <w:r>
                    <w:t xml:space="preserve"> </w:t>
                  </w:r>
                  <m:oMath>
                    <m:r>
                      <m:t>k</m:t>
                    </m:r>
                  </m:oMath>
                  <w:r>
                    <w:t xml:space="preserve"> </w:t>
                  </w:r>
                  <w:r>
                    <w:t xml:space="preserve">is removed from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∫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oMath>
                  <w:r>
                    <w:t xml:space="preserve">, used for a number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limits of integration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∫</m:t>
                    </m:r>
                    <m:r>
                      <m:t>f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limits, the variable of integration, and the differential</w:t>
                  </w:r>
                  <w:r>
                    <w:t xml:space="preserve"> </w:t>
                  </w:r>
                  <m:oMath>
                    <m:r>
                      <m:t>d</m:t>
                    </m:r>
                    <m:r>
                      <m:t>x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  <m:r>
                          <m:rPr>
                            <m:sty m:val="p"/>
                          </m:rPr>
                          <m:t>:</m:t>
                        </m:r>
                        <m:r>
                          <m:t>n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explicit list of entries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“the function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”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“the function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:</m:t>
                    </m:r>
                    <m:r>
                      <m:rPr>
                        <m:scr m:val="double-struck"/>
                        <m:sty m:val="p"/>
                      </m:rPr>
                      <m:t>R</m:t>
                    </m:r>
                    <m:r>
                      <m:rPr>
                        <m:sty m:val="p"/>
                      </m:rPr>
                      <m:t>→</m:t>
                    </m:r>
                    <m:r>
                      <m:rPr>
                        <m:scr m:val="double-struck"/>
                        <m:sty m:val="p"/>
                      </m:rPr>
                      <m:t>R</m:t>
                    </m:r>
                  </m:oMath>
                  <w:r>
                    <w:t xml:space="preserve"> </w:t>
                  </w:r>
                  <w:r>
                    <w:t xml:space="preserve">with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”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function’s name, domain, and codomain</w:t>
                  </w:r>
                </w:p>
              </w:tc>
            </w:tr>
          </w:tbl>
          <w:bookmarkEnd w:id="98"/>
          <w:p/>
        </w:tc>
      </w:tr>
    </w:tbl>
    <w:bookmarkStart w:id="100" w:name="rem-indefinite-integral-not-shorthand"/>
    <w:p>
      <w:pPr>
        <w:pStyle w:val="BodyText"/>
      </w:pPr>
      <w:r>
        <w:rPr>
          <w:i/>
          <w:iCs/>
        </w:rPr>
        <w:t xml:space="preserve">Remark 4</w:t>
      </w:r>
      <w:r>
        <w:t xml:space="preserve"> (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has two readings). </w:t>
      </w:r>
      <w:r>
        <w:t xml:space="preserve">In calculus,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with no limits is not a shorthand:</w:t>
      </w:r>
      <w:r>
        <w:t xml:space="preserve"> </w:t>
      </w:r>
      <w:r>
        <w:t xml:space="preserve">it is the</w:t>
      </w:r>
      <w:r>
        <w:t xml:space="preserve"> </w:t>
      </w:r>
      <w:hyperlink r:id="rId99">
        <w:r>
          <w:rPr>
            <w:rStyle w:val="Hyperlink"/>
          </w:rPr>
          <w:t xml:space="preserve">indefinite integral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 family of functions rather than a number.</w:t>
      </w:r>
      <w:r>
        <w:t xml:space="preserve"> </w:t>
      </w:r>
      <w:r>
        <w:t xml:space="preserve">Some sources, especially in probability,</w:t>
      </w:r>
      <w:r>
        <w:t xml:space="preserve"> </w:t>
      </w:r>
      <w:r>
        <w:t xml:space="preserve">also write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for the number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  <w:r>
        <w:t xml:space="preserve"> </w:t>
      </w:r>
      <w:r>
        <w:t xml:space="preserve">Writing the limits out tells the reader which of the two is meant.</w:t>
      </w:r>
    </w:p>
    <w:bookmarkEnd w:id="100"/>
    <w:bookmarkStart w:id="101" w:name="exm-expand-index-shorthand"/>
    <w:p>
      <w:pPr>
        <w:pStyle w:val="BodyText"/>
      </w:pPr>
      <w:r>
        <w:rPr>
          <w:b/>
          <w:bCs/>
        </w:rPr>
        <w:t xml:space="preserve">Example 18 (Writing out an index shorthand)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 source that writes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means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summation notation)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101"/>
    <w:bookmarkEnd w:id="102"/>
    <w:bookmarkStart w:id="109" w:name="X93a3d4ef5e06a67ae6b891e46b41b74b3674f55"/>
    <w:p>
      <w:pPr>
        <w:pStyle w:val="Heading2"/>
      </w:pPr>
      <w:r>
        <w:t xml:space="preserve">8 Why is notation in probability and statistics so inconsistent and disorganized?</w:t>
      </w:r>
    </w:p>
    <w:p>
      <w:pPr>
        <w:pStyle w:val="FirstParagraph"/>
      </w:pPr>
      <w:r>
        <w:t xml:space="preserve">In grad school,</w:t>
      </w:r>
      <w:r>
        <w:t xml:space="preserve"> </w:t>
      </w:r>
      <w:r>
        <w:t xml:space="preserve">we are asked to learn</w:t>
      </w:r>
      <w:r>
        <w:t xml:space="preserve"> </w:t>
      </w:r>
      <w:r>
        <w:t xml:space="preserve">from increasingly disorganized materials and lectures.</w:t>
      </w:r>
      <w:r>
        <w:t xml:space="preserve"> </w:t>
      </w:r>
      <w:r>
        <w:t xml:space="preserve">Not coincidentally,</w:t>
      </w:r>
      <w:r>
        <w:t xml:space="preserve"> </w:t>
      </w:r>
      <w:r>
        <w:t xml:space="preserve">as the amount of organization decreases,</w:t>
      </w:r>
      <w:r>
        <w:t xml:space="preserve"> </w:t>
      </w:r>
      <w:r>
        <w:t xml:space="preserve">the amount of complexity increases,</w:t>
      </w:r>
      <w:r>
        <w:t xml:space="preserve"> </w:t>
      </w:r>
      <w:r>
        <w:t xml:space="preserve">the amount of difficulty increases,</w:t>
      </w:r>
      <w:r>
        <w:t xml:space="preserve"> </w:t>
      </w:r>
      <w:r>
        <w:t xml:space="preserve">the number of reliable references decreases,</w:t>
      </w:r>
      <w:r>
        <w:t xml:space="preserve"> </w:t>
      </w:r>
      <w:r>
        <w:t xml:space="preserve">and the amount of inconsistency in notation and content increases</w:t>
      </w:r>
      <w:r>
        <w:t xml:space="preserve"> </w:t>
      </w:r>
      <w:r>
        <w:t xml:space="preserve">(both between multiple references and within single references!).</w:t>
      </w:r>
      <w:r>
        <w:t xml:space="preserve"> </w:t>
      </w:r>
      <w:r>
        <w:t xml:space="preserve">In other words,</w:t>
      </w:r>
      <w:r>
        <w:t xml:space="preserve"> </w:t>
      </w:r>
      <w:r>
        <w:t xml:space="preserve">as you approach the cutting-edge of most fields,</w:t>
      </w:r>
      <w:r>
        <w:t xml:space="preserve"> </w:t>
      </w:r>
      <w:r>
        <w:t xml:space="preserve">you start to run into content</w:t>
      </w:r>
      <w:r>
        <w:t xml:space="preserve"> </w:t>
      </w:r>
      <w:r>
        <w:t xml:space="preserve">that hasn’t been fully thought through or standardized.</w:t>
      </w:r>
      <w:r>
        <w:t xml:space="preserve"> </w:t>
      </w:r>
      <w:r>
        <w:t xml:space="preserve">This lack of clarity</w:t>
      </w:r>
      <w:r>
        <w:t xml:space="preserve"> </w:t>
      </w:r>
      <w:r>
        <w:t xml:space="preserve">is unfortunate and undesirable,</w:t>
      </w:r>
      <w:r>
        <w:t xml:space="preserve"> </w:t>
      </w:r>
      <w:r>
        <w:t xml:space="preserve">but it is understandable and inevitable.</w:t>
      </w:r>
    </w:p>
    <w:p>
      <w:pPr>
        <w:pStyle w:val="BodyText"/>
      </w:pPr>
      <w:r>
        <w:t xml:space="preserve">It’s worth noting</w:t>
      </w:r>
      <w:r>
        <w:t xml:space="preserve"> </w:t>
      </w:r>
      <w:r>
        <w:t xml:space="preserve">that calculus was formalized in the</w:t>
      </w:r>
      <w:r>
        <w:t xml:space="preserve"> </w:t>
      </w:r>
      <w:hyperlink r:id="rId103">
        <w:r>
          <w:rPr>
            <w:rStyle w:val="Hyperlink"/>
          </w:rPr>
          <w:t xml:space="preserve">1600s</w:t>
        </w:r>
      </w:hyperlink>
      <w:r>
        <w:t xml:space="preserve">,</w:t>
      </w:r>
      <w:r>
        <w:t xml:space="preserve"> </w:t>
      </w:r>
      <w:r>
        <w:t xml:space="preserve">elementary algebra was formalized around</w:t>
      </w:r>
      <w:r>
        <w:t xml:space="preserve"> </w:t>
      </w:r>
      <w:hyperlink r:id="rId104">
        <w:r>
          <w:rPr>
            <w:rStyle w:val="Hyperlink"/>
          </w:rPr>
          <w:t xml:space="preserve">820</w:t>
        </w:r>
      </w:hyperlink>
      <w:r>
        <w:t xml:space="preserve">,</w:t>
      </w:r>
      <w:r>
        <w:t xml:space="preserve"> </w:t>
      </w:r>
      <w:r>
        <w:t xml:space="preserve">and arithmetic</w:t>
      </w:r>
      <w:r>
        <w:t xml:space="preserve"> </w:t>
      </w:r>
      <w:hyperlink r:id="rId105">
        <w:r>
          <w:rPr>
            <w:rStyle w:val="Hyperlink"/>
          </w:rPr>
          <w:t xml:space="preserve">even earlier</w:t>
        </w:r>
      </w:hyperlink>
      <w:r>
        <w:t xml:space="preserve">.</w:t>
      </w:r>
      <w:r>
        <w:t xml:space="preserve"> </w:t>
      </w:r>
      <w:r>
        <w:t xml:space="preserve">And calculus still has</w:t>
      </w:r>
      <w:r>
        <w:t xml:space="preserve"> </w:t>
      </w:r>
      <w:hyperlink r:id="rId106">
        <w:r>
          <w:rPr>
            <w:rStyle w:val="Hyperlink"/>
          </w:rPr>
          <w:t xml:space="preserve">several competing notation systems</w:t>
        </w:r>
      </w:hyperlink>
      <w:r>
        <w:t xml:space="preserve">.</w:t>
      </w:r>
      <w:r>
        <w:t xml:space="preserve"> </w:t>
      </w:r>
      <w:r>
        <w:t xml:space="preserve">In contrast, the field of statistics only emerged in the</w:t>
      </w:r>
      <w:r>
        <w:t xml:space="preserve"> </w:t>
      </w:r>
      <w:hyperlink r:id="rId107">
        <w:r>
          <w:rPr>
            <w:rStyle w:val="Hyperlink"/>
          </w:rPr>
          <w:t xml:space="preserve">late 1800s and early 1900s</w:t>
        </w:r>
      </w:hyperlink>
      <w:r>
        <w:t xml:space="preserve">,</w:t>
      </w:r>
      <w:r>
        <w:t xml:space="preserve"> </w:t>
      </w:r>
      <w:r>
        <w:t xml:space="preserve">so it’s not surprising that the notation and terminology is still developing.</w:t>
      </w:r>
      <w:r>
        <w:t xml:space="preserve"> </w:t>
      </w:r>
      <w:r>
        <w:t xml:space="preserve">Generalized linear models were only formalized in 1972</w:t>
      </w:r>
      <w:r>
        <w:t xml:space="preserve"> </w:t>
      </w:r>
      <w:r>
        <w:t xml:space="preserve">(Nelder and Wedderburn 1972)</w:t>
      </w:r>
      <w:r>
        <w:t xml:space="preserve">,</w:t>
      </w:r>
      <w:r>
        <w:t xml:space="preserve"> </w:t>
      </w:r>
      <w:r>
        <w:t xml:space="preserve">which is very recent in terms of the</w:t>
      </w:r>
      <w:r>
        <w:t xml:space="preserve"> </w:t>
      </w:r>
      <w:hyperlink r:id="rId108">
        <w:r>
          <w:rPr>
            <w:rStyle w:val="Hyperlink"/>
          </w:rPr>
          <w:t xml:space="preserve">pace of scientific development</w:t>
        </w:r>
      </w:hyperlink>
      <w:r>
        <w:t xml:space="preserve">.</w:t>
      </w:r>
    </w:p>
    <w:bookmarkEnd w:id="109"/>
    <w:bookmarkStart w:id="111" w:name="sec-further-reading"/>
    <w:p>
      <w:pPr>
        <w:pStyle w:val="Heading2"/>
      </w:pPr>
      <w:r>
        <w:t xml:space="preserve">9 Further reading</w:t>
      </w:r>
    </w:p>
    <w:p>
      <w:pPr>
        <w:pStyle w:val="FirstParagraph"/>
      </w:pPr>
      <w:r>
        <w:t xml:space="preserve">For the logical symbols and proof conventions used in these notes:</w:t>
      </w:r>
    </w:p>
    <w:p>
      <w:pPr>
        <w:pStyle w:val="Compact"/>
        <w:numPr>
          <w:ilvl w:val="0"/>
          <w:numId w:val="1026"/>
        </w:numPr>
      </w:pPr>
      <w:r>
        <w:t xml:space="preserve">Velleman (2019)</w:t>
      </w:r>
      <w:r>
        <w:t xml:space="preserve"> </w:t>
      </w:r>
      <w:r>
        <w:t xml:space="preserve">explains how mathematical statements are built from logical connectives and quantifiers,</w:t>
      </w:r>
      <w:r>
        <w:t xml:space="preserve"> </w:t>
      </w:r>
      <w:r>
        <w:t xml:space="preserve">and how to read and write them.</w:t>
      </w:r>
    </w:p>
    <w:p>
      <w:pPr>
        <w:pStyle w:val="Compact"/>
        <w:numPr>
          <w:ilvl w:val="0"/>
          <w:numId w:val="1026"/>
        </w:numPr>
      </w:pPr>
      <w:r>
        <w:t xml:space="preserve">Barker-Plummer et al. (2011)</w:t>
      </w:r>
      <w:r>
        <w:t xml:space="preserve"> </w:t>
      </w:r>
      <w:r>
        <w:t xml:space="preserve">covers the same symbols as a formal language,</w:t>
      </w:r>
      <w:r>
        <w:t xml:space="preserve"> </w:t>
      </w:r>
      <w:r>
        <w:t xml:space="preserve">with propositional and first-order logic.</w:t>
      </w:r>
    </w:p>
    <w:p>
      <w:pPr>
        <w:pStyle w:val="FirstParagraph"/>
      </w:pPr>
      <w:r>
        <w:t xml:space="preserve">For set and function notation, see the</w:t>
      </w:r>
      <w:r>
        <w:t xml:space="preserve"> </w:t>
      </w:r>
      <w:hyperlink r:id="rId110">
        <w:r>
          <w:rPr>
            <w:rStyle w:val="Hyperlink"/>
          </w:rPr>
          <w:t xml:space="preserve">Sets and Functions</w:t>
        </w:r>
      </w:hyperlink>
      <w:r>
        <w:t xml:space="preserve"> </w:t>
      </w:r>
      <w:r>
        <w:t xml:space="preserve">page.</w:t>
      </w:r>
    </w:p>
    <w:bookmarkEnd w:id="111"/>
    <w:bookmarkStart w:id="120" w:name="references"/>
    <w:p>
      <w:pPr>
        <w:pStyle w:val="Heading2"/>
      </w:pPr>
      <w:r>
        <w:t xml:space="preserve">References</w:t>
      </w:r>
    </w:p>
    <w:bookmarkStart w:id="119" w:name="refs"/>
    <w:bookmarkStart w:id="113" w:name="ref-barkerplummer2011language"/>
    <w:p>
      <w:pPr>
        <w:pStyle w:val="Bibliography"/>
      </w:pPr>
      <w:r>
        <w:t xml:space="preserve">Barker-Plummer, Dave, Jon Barwise, and John Etchemendy. 2011.</w:t>
      </w:r>
      <w:r>
        <w:t xml:space="preserve"> </w:t>
      </w:r>
      <w:r>
        <w:rPr>
          <w:i/>
          <w:iCs/>
        </w:rPr>
        <w:t xml:space="preserve">Language, Proof and Logic</w:t>
      </w:r>
      <w:r>
        <w:t xml:space="preserve">. 2nd ed. CSLI Publications.</w:t>
      </w:r>
      <w:r>
        <w:t xml:space="preserve"> </w:t>
      </w:r>
      <w:hyperlink r:id="rId112">
        <w:r>
          <w:rPr>
            <w:rStyle w:val="Hyperlink"/>
          </w:rPr>
          <w:t xml:space="preserve">https://www.amazon.com/dp/1575866323</w:t>
        </w:r>
      </w:hyperlink>
      <w:r>
        <w:t xml:space="preserve">.</w:t>
      </w:r>
    </w:p>
    <w:bookmarkEnd w:id="113"/>
    <w:bookmarkStart w:id="115" w:name="ref-nelder1972generalized"/>
    <w:p>
      <w:pPr>
        <w:pStyle w:val="Bibliography"/>
      </w:pPr>
      <w:r>
        <w:t xml:space="preserve">Nelder, John Ashworth, and Robert WM Wedderburn. 1972.</w:t>
      </w:r>
      <w:r>
        <w:t xml:space="preserve"> </w:t>
      </w:r>
      <w:r>
        <w:t xml:space="preserve">“Generalized Linear Models.”</w:t>
      </w:r>
      <w:r>
        <w:t xml:space="preserve"> </w:t>
      </w:r>
      <w:r>
        <w:rPr>
          <w:i/>
          <w:iCs/>
        </w:rPr>
        <w:t xml:space="preserve">Journal of the Royal Statistical Society Series A: Statistics in Society</w:t>
      </w:r>
      <w:r>
        <w:t xml:space="preserve"> </w:t>
      </w:r>
      <w:r>
        <w:t xml:space="preserve">135 (3): 370–84.</w:t>
      </w:r>
      <w:r>
        <w:t xml:space="preserve"> </w:t>
      </w:r>
      <w:hyperlink r:id="rId114">
        <w:r>
          <w:rPr>
            <w:rStyle w:val="Hyperlink"/>
          </w:rPr>
          <w:t xml:space="preserve">https://doi.org/10.2307/2344614</w:t>
        </w:r>
      </w:hyperlink>
      <w:r>
        <w:t xml:space="preserve">.</w:t>
      </w:r>
    </w:p>
    <w:bookmarkEnd w:id="115"/>
    <w:bookmarkStart w:id="116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116"/>
    <w:bookmarkStart w:id="118" w:name="ref-velleman2019prove"/>
    <w:p>
      <w:pPr>
        <w:pStyle w:val="Bibliography"/>
      </w:pPr>
      <w:r>
        <w:t xml:space="preserve">Velleman, Daniel J. 2019.</w:t>
      </w:r>
      <w:r>
        <w:t xml:space="preserve"> </w:t>
      </w:r>
      <w:r>
        <w:rPr>
          <w:i/>
          <w:iCs/>
        </w:rPr>
        <w:t xml:space="preserve">How to Prove It: A Structured Approach</w:t>
      </w:r>
      <w:r>
        <w:t xml:space="preserve">. 3rd ed. Cambridge University Press.</w:t>
      </w:r>
      <w:r>
        <w:t xml:space="preserve"> </w:t>
      </w:r>
      <w:hyperlink r:id="rId117">
        <w:r>
          <w:rPr>
            <w:rStyle w:val="Hyperlink"/>
          </w:rPr>
          <w:t xml:space="preserve">https://doi.org/10.1017/9781108539890</w:t>
        </w:r>
      </w:hyperlink>
      <w:r>
        <w:t xml:space="preserve">.</w:t>
      </w:r>
    </w:p>
    <w:bookmarkEnd w:id="118"/>
    <w:bookmarkEnd w:id="119"/>
    <w:bookmarkEnd w:id="1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12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depending on whether it is applied to a matrix or a function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7" Target="media/rId27.png" /><Relationship Type="http://schemas.openxmlformats.org/officeDocument/2006/relationships/hyperlink" Id="rId51" Target="algebra.qmd#def-distributive" TargetMode="External" /><Relationship Type="http://schemas.openxmlformats.org/officeDocument/2006/relationships/hyperlink" Id="rId86" Target="algebra.qmd#def-identity" TargetMode="External" /><Relationship Type="http://schemas.openxmlformats.org/officeDocument/2006/relationships/hyperlink" Id="rId45" Target="algebra.qmd#def-sequence-limit" TargetMode="External" /><Relationship Type="http://schemas.openxmlformats.org/officeDocument/2006/relationships/hyperlink" Id="rId38" Target="algebra.qmd#def-square-root" TargetMode="External" /><Relationship Type="http://schemas.openxmlformats.org/officeDocument/2006/relationships/hyperlink" Id="rId96" Target="algebra.qmd#def-sum-over-set" TargetMode="External" /><Relationship Type="http://schemas.openxmlformats.org/officeDocument/2006/relationships/hyperlink" Id="rId97" Target="algebra.qmd#def-summation" TargetMode="External" /><Relationship Type="http://schemas.openxmlformats.org/officeDocument/2006/relationships/hyperlink" Id="rId9" Target="algebra.qmd#sec-summation" TargetMode="External" /><Relationship Type="http://schemas.openxmlformats.org/officeDocument/2006/relationships/hyperlink" Id="rId11" Target="calculus.qmd#def-derivative" TargetMode="External" /><Relationship Type="http://schemas.openxmlformats.org/officeDocument/2006/relationships/hyperlink" Id="rId99" Target="calculus.qmd#def-indefinite-integral" TargetMode="External" /><Relationship Type="http://schemas.openxmlformats.org/officeDocument/2006/relationships/hyperlink" Id="rId117" Target="https://doi.org/10.1017/9781108539890" TargetMode="External" /><Relationship Type="http://schemas.openxmlformats.org/officeDocument/2006/relationships/hyperlink" Id="rId114" Target="https://doi.org/10.2307/2344614" TargetMode="External" /><Relationship Type="http://schemas.openxmlformats.org/officeDocument/2006/relationships/hyperlink" Id="rId30" Target="https://en.wikipedia.org/w/index.php?title=Natural_number&amp;oldid=1375965996" TargetMode="External" /><Relationship Type="http://schemas.openxmlformats.org/officeDocument/2006/relationships/hyperlink" Id="rId104" Target="https://en.wikipedia.org/wiki/Al-Jabr" TargetMode="External" /><Relationship Type="http://schemas.openxmlformats.org/officeDocument/2006/relationships/hyperlink" Id="rId105" Target="https://en.wikipedia.org/wiki/Arithmetic#History" TargetMode="External" /><Relationship Type="http://schemas.openxmlformats.org/officeDocument/2006/relationships/hyperlink" Id="rId14" Target="https://en.wikipedia.org/wiki/Generalized_linear_model#:~:text=The%20linear%20predictor%20is%20the,data%20through%20the%20link%20function" TargetMode="External" /><Relationship Type="http://schemas.openxmlformats.org/officeDocument/2006/relationships/hyperlink" Id="rId107" Target="https://en.wikipedia.org/wiki/History_of_statistics#Development_of_modern_statistics" TargetMode="External" /><Relationship Type="http://schemas.openxmlformats.org/officeDocument/2006/relationships/hyperlink" Id="rId72" Target="https://en.wikipedia.org/wiki/Iverson_bracket" TargetMode="External" /><Relationship Type="http://schemas.openxmlformats.org/officeDocument/2006/relationships/hyperlink" Id="rId103" Target="https://en.wikipedia.org/wiki/Leibniz%27s_notation" TargetMode="External" /><Relationship Type="http://schemas.openxmlformats.org/officeDocument/2006/relationships/hyperlink" Id="rId106" Target="https://en.wikipedia.org/wiki/Notation_for_differentiation" TargetMode="External" /><Relationship Type="http://schemas.openxmlformats.org/officeDocument/2006/relationships/hyperlink" Id="rId43" Target="https://en.wikipedia.org/wiki/Percentage" TargetMode="External" /><Relationship Type="http://schemas.openxmlformats.org/officeDocument/2006/relationships/hyperlink" Id="rId40" Target="https://en.wikipedia.org/wiki/Proof_that_%CF%80_is_irrational" TargetMode="External" /><Relationship Type="http://schemas.openxmlformats.org/officeDocument/2006/relationships/hyperlink" Id="rId39" Target="https://en.wikipedia.org/wiki/Square_root_of_2" TargetMode="External" /><Relationship Type="http://schemas.openxmlformats.org/officeDocument/2006/relationships/hyperlink" Id="rId108" Target="https://en.wikipedia.org/wiki/The_Structure_of_Scientific_Revolutions" TargetMode="External" /><Relationship Type="http://schemas.openxmlformats.org/officeDocument/2006/relationships/hyperlink" Id="rId10" Target="https://morrison-lab.github.io/pds/expectation.html#def-expectation" TargetMode="External" /><Relationship Type="http://schemas.openxmlformats.org/officeDocument/2006/relationships/hyperlink" Id="rId13" Target="https://morrison-lab.github.io/pds/independence.html#def-indpt" TargetMode="External" /><Relationship Type="http://schemas.openxmlformats.org/officeDocument/2006/relationships/hyperlink" Id="rId66" Target="https://morrison-lab.github.io/pds/random-variables.html#def-random-variable" TargetMode="External" /><Relationship Type="http://schemas.openxmlformats.org/officeDocument/2006/relationships/hyperlink" Id="rId16" Target="https://quarto.org/docs/authoring/markdown-basics.html#equations" TargetMode="External" /><Relationship Type="http://schemas.openxmlformats.org/officeDocument/2006/relationships/hyperlink" Id="rId112" Target="https://www.amazon.com/dp/1575866323" TargetMode="External" /><Relationship Type="http://schemas.openxmlformats.org/officeDocument/2006/relationships/hyperlink" Id="rId110" Target="sets-functions.qmd" TargetMode="External" /><Relationship Type="http://schemas.openxmlformats.org/officeDocument/2006/relationships/hyperlink" Id="rId85" Target="sets-functions.qmd#def-complement" TargetMode="External" /><Relationship Type="http://schemas.openxmlformats.org/officeDocument/2006/relationships/hyperlink" Id="rId79" Target="sets-functions.qmd#def-finite-set" TargetMode="External" /><Relationship Type="http://schemas.openxmlformats.org/officeDocument/2006/relationships/hyperlink" Id="rId93" Target="sets-functions.qmd#def-function" TargetMode="External" /><Relationship Type="http://schemas.openxmlformats.org/officeDocument/2006/relationships/hyperlink" Id="rId94" Target="sets-functions.qmd#def-image" TargetMode="External" /><Relationship Type="http://schemas.openxmlformats.org/officeDocument/2006/relationships/hyperlink" Id="rId80" Target="sets-functions.qmd#def-interval" TargetMode="External" /><Relationship Type="http://schemas.openxmlformats.org/officeDocument/2006/relationships/hyperlink" Id="rId95" Target="sets-functions.qmd#rem-image-rang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1" Target="algebra.qmd#def-distributive" TargetMode="External" /><Relationship Type="http://schemas.openxmlformats.org/officeDocument/2006/relationships/hyperlink" Id="rId86" Target="algebra.qmd#def-identity" TargetMode="External" /><Relationship Type="http://schemas.openxmlformats.org/officeDocument/2006/relationships/hyperlink" Id="rId45" Target="algebra.qmd#def-sequence-limit" TargetMode="External" /><Relationship Type="http://schemas.openxmlformats.org/officeDocument/2006/relationships/hyperlink" Id="rId38" Target="algebra.qmd#def-square-root" TargetMode="External" /><Relationship Type="http://schemas.openxmlformats.org/officeDocument/2006/relationships/hyperlink" Id="rId96" Target="algebra.qmd#def-sum-over-set" TargetMode="External" /><Relationship Type="http://schemas.openxmlformats.org/officeDocument/2006/relationships/hyperlink" Id="rId97" Target="algebra.qmd#def-summation" TargetMode="External" /><Relationship Type="http://schemas.openxmlformats.org/officeDocument/2006/relationships/hyperlink" Id="rId9" Target="algebra.qmd#sec-summation" TargetMode="External" /><Relationship Type="http://schemas.openxmlformats.org/officeDocument/2006/relationships/hyperlink" Id="rId11" Target="calculus.qmd#def-derivative" TargetMode="External" /><Relationship Type="http://schemas.openxmlformats.org/officeDocument/2006/relationships/hyperlink" Id="rId99" Target="calculus.qmd#def-indefinite-integral" TargetMode="External" /><Relationship Type="http://schemas.openxmlformats.org/officeDocument/2006/relationships/hyperlink" Id="rId117" Target="https://doi.org/10.1017/9781108539890" TargetMode="External" /><Relationship Type="http://schemas.openxmlformats.org/officeDocument/2006/relationships/hyperlink" Id="rId114" Target="https://doi.org/10.2307/2344614" TargetMode="External" /><Relationship Type="http://schemas.openxmlformats.org/officeDocument/2006/relationships/hyperlink" Id="rId30" Target="https://en.wikipedia.org/w/index.php?title=Natural_number&amp;oldid=1375965996" TargetMode="External" /><Relationship Type="http://schemas.openxmlformats.org/officeDocument/2006/relationships/hyperlink" Id="rId104" Target="https://en.wikipedia.org/wiki/Al-Jabr" TargetMode="External" /><Relationship Type="http://schemas.openxmlformats.org/officeDocument/2006/relationships/hyperlink" Id="rId105" Target="https://en.wikipedia.org/wiki/Arithmetic#History" TargetMode="External" /><Relationship Type="http://schemas.openxmlformats.org/officeDocument/2006/relationships/hyperlink" Id="rId14" Target="https://en.wikipedia.org/wiki/Generalized_linear_model#:~:text=The%20linear%20predictor%20is%20the,data%20through%20the%20link%20function" TargetMode="External" /><Relationship Type="http://schemas.openxmlformats.org/officeDocument/2006/relationships/hyperlink" Id="rId107" Target="https://en.wikipedia.org/wiki/History_of_statistics#Development_of_modern_statistics" TargetMode="External" /><Relationship Type="http://schemas.openxmlformats.org/officeDocument/2006/relationships/hyperlink" Id="rId72" Target="https://en.wikipedia.org/wiki/Iverson_bracket" TargetMode="External" /><Relationship Type="http://schemas.openxmlformats.org/officeDocument/2006/relationships/hyperlink" Id="rId103" Target="https://en.wikipedia.org/wiki/Leibniz%27s_notation" TargetMode="External" /><Relationship Type="http://schemas.openxmlformats.org/officeDocument/2006/relationships/hyperlink" Id="rId106" Target="https://en.wikipedia.org/wiki/Notation_for_differentiation" TargetMode="External" /><Relationship Type="http://schemas.openxmlformats.org/officeDocument/2006/relationships/hyperlink" Id="rId43" Target="https://en.wikipedia.org/wiki/Percentage" TargetMode="External" /><Relationship Type="http://schemas.openxmlformats.org/officeDocument/2006/relationships/hyperlink" Id="rId40" Target="https://en.wikipedia.org/wiki/Proof_that_%CF%80_is_irrational" TargetMode="External" /><Relationship Type="http://schemas.openxmlformats.org/officeDocument/2006/relationships/hyperlink" Id="rId39" Target="https://en.wikipedia.org/wiki/Square_root_of_2" TargetMode="External" /><Relationship Type="http://schemas.openxmlformats.org/officeDocument/2006/relationships/hyperlink" Id="rId108" Target="https://en.wikipedia.org/wiki/The_Structure_of_Scientific_Revolutions" TargetMode="External" /><Relationship Type="http://schemas.openxmlformats.org/officeDocument/2006/relationships/hyperlink" Id="rId10" Target="https://morrison-lab.github.io/pds/expectation.html#def-expectation" TargetMode="External" /><Relationship Type="http://schemas.openxmlformats.org/officeDocument/2006/relationships/hyperlink" Id="rId13" Target="https://morrison-lab.github.io/pds/independence.html#def-indpt" TargetMode="External" /><Relationship Type="http://schemas.openxmlformats.org/officeDocument/2006/relationships/hyperlink" Id="rId66" Target="https://morrison-lab.github.io/pds/random-variables.html#def-random-variable" TargetMode="External" /><Relationship Type="http://schemas.openxmlformats.org/officeDocument/2006/relationships/hyperlink" Id="rId16" Target="https://quarto.org/docs/authoring/markdown-basics.html#equations" TargetMode="External" /><Relationship Type="http://schemas.openxmlformats.org/officeDocument/2006/relationships/hyperlink" Id="rId112" Target="https://www.amazon.com/dp/1575866323" TargetMode="External" /><Relationship Type="http://schemas.openxmlformats.org/officeDocument/2006/relationships/hyperlink" Id="rId110" Target="sets-functions.qmd" TargetMode="External" /><Relationship Type="http://schemas.openxmlformats.org/officeDocument/2006/relationships/hyperlink" Id="rId85" Target="sets-functions.qmd#def-complement" TargetMode="External" /><Relationship Type="http://schemas.openxmlformats.org/officeDocument/2006/relationships/hyperlink" Id="rId79" Target="sets-functions.qmd#def-finite-set" TargetMode="External" /><Relationship Type="http://schemas.openxmlformats.org/officeDocument/2006/relationships/hyperlink" Id="rId93" Target="sets-functions.qmd#def-function" TargetMode="External" /><Relationship Type="http://schemas.openxmlformats.org/officeDocument/2006/relationships/hyperlink" Id="rId94" Target="sets-functions.qmd#def-image" TargetMode="External" /><Relationship Type="http://schemas.openxmlformats.org/officeDocument/2006/relationships/hyperlink" Id="rId80" Target="sets-functions.qmd#def-interval" TargetMode="External" /><Relationship Type="http://schemas.openxmlformats.org/officeDocument/2006/relationships/hyperlink" Id="rId95" Target="sets-functions.qmd#rem-image-rang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Notation</dc:title>
  <dc:creator/>
  <cp:keywords/>
  <dcterms:created xsi:type="dcterms:W3CDTF">2026-10-06T04:30:44Z</dcterms:created>
  <dcterms:modified xsi:type="dcterms:W3CDTF">2026-10-06T04:30:44Z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2026-10-05 21:21:41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