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2026-09-30 14:50:05 (PDT)</w:t>
      </w:r>
    </w:p>
    <w:p>
      <w:pPr>
        <w:pStyle w:val="FirstParagraph"/>
      </w:pPr>
      <w:r>
        <w:t xml:space="preserve">This page collects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 logical entailment are listed under</w:t>
      </w:r>
      <w:r>
        <w:t xml:space="preserve"> </w:t>
      </w:r>
      <w:hyperlink r:id="rId9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on the Notation page.</w:t>
      </w:r>
    </w:p>
    <w:bookmarkStart w:id="10" w:name="sec-dont-skip-steps"/>
    <w:p>
      <w:pPr>
        <w:pStyle w:val="Heading2"/>
      </w:pPr>
      <w:r>
        <w:t xml:space="preserve">1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01"/>
        </w:numPr>
      </w:pPr>
      <w:r>
        <w:t xml:space="preserve">applying a definition,</w:t>
      </w:r>
    </w:p>
    <w:p>
      <w:pPr>
        <w:pStyle w:val="Compact"/>
        <w:numPr>
          <w:ilvl w:val="0"/>
          <w:numId w:val="1001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01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10"/>
    <w:bookmarkStart w:id="14" w:name="sec-annotate-each-step"/>
    <w:p>
      <w:pPr>
        <w:pStyle w:val="Heading2"/>
      </w:pPr>
      <w:r>
        <w:t xml:space="preserve">2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11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idempotent,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 projection matrix.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hyperlink r:id="rId13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14"/>
    <w:bookmarkStart w:id="15" w:name="sec-golden-rule"/>
    <w:p>
      <w:pPr>
        <w:pStyle w:val="Heading2"/>
      </w:pPr>
      <w:r>
        <w:t xml:space="preserve">3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morrison-lab.github.io/rme/chapters/probability.html#thm-variance" TargetMode="External" /><Relationship Type="http://schemas.openxmlformats.org/officeDocument/2006/relationships/hyperlink" Id="rId11" Target="linear-algebra.qmd#def-hat-matrix" TargetMode="External" /><Relationship Type="http://schemas.openxmlformats.org/officeDocument/2006/relationships/hyperlink" Id="rId12" Target="linear-algebra.qmd#thm-hat-matrix" TargetMode="External" /><Relationship Type="http://schemas.openxmlformats.org/officeDocument/2006/relationships/hyperlink" Id="rId9" Target="notation.qmd#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2026-09-30T21:57:38Z</dcterms:created>
  <dcterms:modified xsi:type="dcterms:W3CDTF">2026-09-30T21:57:38Z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2026-09-30 14:50:05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