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19:42:35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2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6"/>
    <w:bookmarkStart w:id="68" w:name="sec-indicator-functions"/>
    <w:p>
      <w:pPr>
        <w:pStyle w:val="Heading2"/>
      </w:pPr>
      <w:r>
        <w:t xml:space="preserve">2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7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27"/>
    <w:bookmarkStart w:id="28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8"/>
    <w:bookmarkStart w:id="29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9"/>
    <w:bookmarkStart w:id="30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42" w:name="X156504d913efc1f49ad7c2e43ace68824d2fb5d"/>
    <w:p>
      <w:pPr>
        <w:pStyle w:val="Heading3"/>
      </w:pPr>
      <w:r>
        <w:t xml:space="preserve">2.1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32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34"/>
    <w:bookmarkStart w:id="35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35"/>
    <w:bookmarkStart w:id="36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6"/>
    <w:bookmarkStart w:id="38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8"/>
    <w:bookmarkStart w:id="41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39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39"/>
    <w:bookmarkStart w:id="40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40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41"/>
    <w:bookmarkEnd w:id="42"/>
    <w:bookmarkStart w:id="49" w:name="iverson-bracket-notation"/>
    <w:p>
      <w:pPr>
        <w:pStyle w:val="Heading3"/>
      </w:pPr>
      <w:r>
        <w:t xml:space="preserve">2.2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44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44"/>
    <w:bookmarkStart w:id="45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45"/>
    <w:bookmarkStart w:id="46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7"/>
    <w:bookmarkStart w:id="48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3" w:name="Xd6f58182005cccf55080a628cd9152d2b1165ed"/>
    <w:p>
      <w:pPr>
        <w:pStyle w:val="Heading3"/>
      </w:pPr>
      <w:r>
        <w:t xml:space="preserve">2.3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51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53"/>
    <w:bookmarkStart w:id="55" w:name="summary-of-indicator-notations"/>
    <w:p>
      <w:pPr>
        <w:pStyle w:val="Heading3"/>
      </w:pPr>
      <w:r>
        <w:t xml:space="preserve">2.4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54"/>
          <w:p/>
        </w:tc>
      </w:tr>
    </w:tbl>
    <w:bookmarkEnd w:id="55"/>
    <w:bookmarkStart w:id="56" w:name="conventions-in-this-book"/>
    <w:p>
      <w:pPr>
        <w:pStyle w:val="Heading3"/>
      </w:pPr>
      <w:r>
        <w:t xml:space="preserve">2.5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56"/>
    <w:bookmarkStart w:id="67" w:name="key-algebraic-properties"/>
    <w:p>
      <w:pPr>
        <w:pStyle w:val="Heading3"/>
      </w:pPr>
      <w:r>
        <w:t xml:space="preserve">2.6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57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59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5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59"/>
    <w:bookmarkStart w:id="61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6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6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6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6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6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67"/>
    <w:bookmarkEnd w:id="68"/>
    <w:bookmarkStart w:id="75" w:name="X93a3d4ef5e06a67ae6b891e46b41b74b3674f55"/>
    <w:p>
      <w:pPr>
        <w:pStyle w:val="Heading2"/>
      </w:pPr>
      <w:del w:id="3" w:author="PR Preview" w:date="2026-01-01T00:00:00Z">
        <w:r>
          <w:delText xml:space="preserve">3 Notational shorthands</w:delText>
        </w:r>
      </w:del>
    </w:p>
    <w:p>
      <w:pPr>
        <w:pStyle w:val="FirstParagraph"/>
      </w:pPr>
      <w:del w:id="4" w:author="PR Preview" w:date="2026-01-01T00:00:00Z">
        <w:r>
          <w:rPr>
            <w:b/>
            <w:bCs/>
          </w:rPr>
          <w:delText xml:space="preserve">Definition 10 (Lower limit of a sum or integral)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In a</w:delText>
        </w:r>
      </w:del>
      <w:del w:id="7" w:author="PR Preview" w:date="2026-01-01T00:00:00Z">
        <w:r>
          <w:delText xml:space="preserve"> </w:delText>
        </w:r>
      </w:del>
      <w:hyperlink r:id="rId17">
        <w:del w:id="8" w:author="PR Preview" w:date="2026-01-01T00:00:00Z">
          <w:r>
            <w:rPr>
              <w:rStyle w:val="Hyperlink"/>
            </w:rPr>
            <w:delText xml:space="preserve">sum</w:delText>
          </w:r>
        </w:del>
      </w:hyperlink>
      <w:del w:id="9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10" w:author="PR Preview" w:date="2026-01-01T00:00:00Z">
        <w:r>
          <w:delText xml:space="preserve">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the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rPr>
            <w:b/>
            <w:bCs/>
          </w:rPr>
          <w:delText xml:space="preserve">lower limit</w:delText>
        </w:r>
      </w:del>
      <w:del w:id="15" w:author="PR Preview" w:date="2026-01-01T00:00:00Z">
        <w:r>
          <w:delText xml:space="preserve"> </w:delText>
        </w:r>
      </w:del>
      <m:oMath>
        <m:r>
          <m:t>m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is the first value of the index</w:delText>
        </w:r>
      </w:del>
      <w:del w:id="18" w:author="PR Preview" w:date="2026-01-01T00:00:00Z">
        <w:r>
          <w:delText xml:space="preserve"> </w:delText>
        </w:r>
      </w:del>
      <m:oMath>
        <m:r>
          <m:t>i</m:t>
        </m:r>
      </m:oMath>
      <w:del w:id="19" w:author="PR Preview" w:date="2026-01-01T00:00:00Z">
        <w:r>
          <w:delText xml:space="preserve">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In an</w:delText>
        </w:r>
      </w:del>
      <w:del w:id="22" w:author="PR Preview" w:date="2026-01-01T00:00:00Z">
        <w:r>
          <w:delText xml:space="preserve"> </w:delText>
        </w:r>
      </w:del>
      <w:hyperlink r:id="rId21">
        <w:del w:id="23" w:author="PR Preview" w:date="2026-01-01T00:00:00Z">
          <w:r>
            <w:rPr>
              <w:rStyle w:val="Hyperlink"/>
            </w:rPr>
            <w:delText xml:space="preserve">integral</w:delText>
          </w:r>
        </w:del>
      </w:hyperlink>
      <w:del w:id="24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25" w:author="PR Preview" w:date="2026-01-01T00:00:00Z">
        <w:r>
          <w:delText xml:space="preserve">,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the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rPr>
            <w:b/>
            <w:bCs/>
          </w:rPr>
          <w:delText xml:space="preserve">lower limit</w:delText>
        </w:r>
      </w:del>
      <w:del w:id="30" w:author="PR Preview" w:date="2026-01-01T00:00:00Z">
        <w:r>
          <w:delText xml:space="preserve"> </w:delText>
        </w:r>
      </w:del>
      <m:oMath>
        <m:r>
          <m:t>a</m:t>
        </m:r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is the left end of the interval of integration.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In both, the lower limit is written below the symbol.</w:delText>
        </w:r>
      </w:del>
    </w:p>
    <w:p>
      <w:pPr>
        <w:pStyle w:val="BodyText"/>
      </w:pPr>
      <w:del w:id="35" w:author="PR Preview" w:date="2026-01-01T00:00:00Z">
        <w:r>
          <w:rPr>
            <w:b/>
            <w:bCs/>
          </w:rPr>
          <w:delText xml:space="preserve">Definition 11 (Upper limit of a sum or integral)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In a</w:delText>
        </w:r>
      </w:del>
      <w:del w:id="38" w:author="PR Preview" w:date="2026-01-01T00:00:00Z">
        <w:r>
          <w:delText xml:space="preserve"> </w:delText>
        </w:r>
      </w:del>
      <w:hyperlink r:id="rId17">
        <w:del w:id="39" w:author="PR Preview" w:date="2026-01-01T00:00:00Z">
          <w:r>
            <w:rPr>
              <w:rStyle w:val="Hyperlink"/>
            </w:rPr>
            <w:delText xml:space="preserve">sum</w:delText>
          </w:r>
        </w:del>
      </w:hyperlink>
      <w:del w:id="40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41" w:author="PR Preview" w:date="2026-01-01T00:00:00Z">
        <w:r>
          <w:delText xml:space="preserve">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the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rPr>
            <w:b/>
            <w:bCs/>
          </w:rPr>
          <w:delText xml:space="preserve">upper limit</w:delText>
        </w:r>
      </w:del>
      <w:del w:id="46" w:author="PR Preview" w:date="2026-01-01T00:00:00Z">
        <w:r>
          <w:delText xml:space="preserve"> </w:delText>
        </w:r>
      </w:del>
      <m:oMath>
        <m:r>
          <m:t>n</m:t>
        </m:r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is the last value of the index</w:delText>
        </w:r>
      </w:del>
      <w:del w:id="49" w:author="PR Preview" w:date="2026-01-01T00:00:00Z">
        <w:r>
          <w:delText xml:space="preserve"> </w:delText>
        </w:r>
      </w:del>
      <m:oMath>
        <m:r>
          <m:t>i</m:t>
        </m:r>
      </m:oMath>
      <w:del w:id="50" w:author="PR Preview" w:date="2026-01-01T00:00:00Z">
        <w:r>
          <w:delText xml:space="preserve">.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In an</w:delText>
        </w:r>
      </w:del>
      <w:del w:id="53" w:author="PR Preview" w:date="2026-01-01T00:00:00Z">
        <w:r>
          <w:delText xml:space="preserve"> </w:delText>
        </w:r>
      </w:del>
      <w:hyperlink r:id="rId21">
        <w:del w:id="54" w:author="PR Preview" w:date="2026-01-01T00:00:00Z">
          <w:r>
            <w:rPr>
              <w:rStyle w:val="Hyperlink"/>
            </w:rPr>
            <w:delText xml:space="preserve">integral</w:delText>
          </w:r>
        </w:del>
      </w:hyperlink>
      <w:del w:id="55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56" w:author="PR Preview" w:date="2026-01-01T00:00:00Z">
        <w:r>
          <w:delText xml:space="preserve">,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the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rPr>
            <w:b/>
            <w:bCs/>
          </w:rPr>
          <w:delText xml:space="preserve">upper limit</w:delText>
        </w:r>
      </w:del>
      <w:del w:id="61" w:author="PR Preview" w:date="2026-01-01T00:00:00Z">
        <w:r>
          <w:delText xml:space="preserve"> </w:delText>
        </w:r>
      </w:del>
      <m:oMath>
        <m:r>
          <m:t>b</m:t>
        </m:r>
      </m:oMath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is the right end of the interval of integration.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In both, the upper limit is written above the symbol.</w:delText>
        </w:r>
      </w:del>
    </w:p>
    <w:p>
      <w:pPr>
        <w:pStyle w:val="BodyText"/>
      </w:pPr>
      <w:del w:id="66" w:author="PR Preview" w:date="2026-01-01T00:00:00Z">
        <w:r>
          <w:rPr>
            <w:b/>
            <w:bCs/>
          </w:rPr>
          <w:delText xml:space="preserve">Definition 12 (Limits of integration)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In an</w:delText>
        </w:r>
      </w:del>
      <w:del w:id="69" w:author="PR Preview" w:date="2026-01-01T00:00:00Z">
        <w:r>
          <w:delText xml:space="preserve"> </w:delText>
        </w:r>
      </w:del>
      <w:hyperlink r:id="rId21">
        <w:del w:id="70" w:author="PR Preview" w:date="2026-01-01T00:00:00Z">
          <w:r>
            <w:rPr>
              <w:rStyle w:val="Hyperlink"/>
            </w:rPr>
            <w:delText xml:space="preserve">integral</w:delText>
          </w:r>
        </w:del>
      </w:hyperlink>
      <w:del w:id="71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72" w:author="PR Preview" w:date="2026-01-01T00:00:00Z">
        <w:r>
          <w:delText xml:space="preserve">,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the lower limit (</w:delText>
        </w:r>
      </w:del>
      <w:hyperlink w:anchor="def-lower-upper-limits">
        <w:del w:id="75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76" w:author="PR Preview" w:date="2026-01-01T00:00:00Z">
        <w:r>
          <w:delText xml:space="preserve">)</w:delText>
        </w:r>
      </w:del>
      <w:del w:id="77" w:author="PR Preview" w:date="2026-01-01T00:00:00Z">
        <w:r>
          <w:delText xml:space="preserve"> </w:delText>
        </w:r>
      </w:del>
      <m:oMath>
        <m:r>
          <m:t>a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and the upper limit (</w:delText>
        </w:r>
      </w:del>
      <w:hyperlink w:anchor="def-upper-limit">
        <w:del w:id="80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81" w:author="PR Preview" w:date="2026-01-01T00:00:00Z">
        <w:r>
          <w:delText xml:space="preserve">)</w:delText>
        </w:r>
      </w:del>
      <w:del w:id="82" w:author="PR Preview" w:date="2026-01-01T00:00:00Z">
        <w:r>
          <w:delText xml:space="preserve"> </w:delText>
        </w:r>
      </w:del>
      <m:oMath>
        <m:r>
          <m:t>b</m:t>
        </m:r>
      </m:oMath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together are the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rPr>
            <w:b/>
            <w:bCs/>
          </w:rPr>
          <w:delText xml:space="preserve">limits of integration</w:delText>
        </w:r>
      </w:del>
      <w:del w:id="87" w:author="PR Preview" w:date="2026-01-01T00:00:00Z">
        <w:r>
          <w:delText xml:space="preserve">.</w:delText>
        </w:r>
      </w:del>
    </w:p>
    <w:p>
      <w:pPr>
        <w:pStyle w:val="BodyText"/>
      </w:pPr>
      <w:del w:id="88" w:author="PR Preview" w:date="2026-01-01T00:00:00Z">
        <w:r>
          <w:rPr>
            <w:b/>
            <w:bCs/>
          </w:rPr>
          <w:delText xml:space="preserve">Example 8 (Reading off limits)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14"/>
        </w:numPr>
      </w:pPr>
      <w:del w:id="91" w:author="PR Preview" w:date="2026-01-01T00:00:00Z">
        <w:r>
          <w:delText xml:space="preserve">In</w:delText>
        </w:r>
      </w:del>
      <w:del w:id="92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del w:id="93" w:author="PR Preview" w:date="2026-01-01T00:00:00Z">
        <w:r>
          <w:delText xml:space="preserve">, the lower limit is</w:delText>
        </w:r>
      </w:del>
      <w:del w:id="94" w:author="PR Preview" w:date="2026-01-01T00:00:00Z">
        <w:r>
          <w:delText xml:space="preserve"> </w:delText>
        </w:r>
      </w:del>
      <m:oMath>
        <m:r>
          <m:t>2</m:t>
        </m:r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and the upper limit is</w:delText>
        </w:r>
      </w:del>
      <w:del w:id="97" w:author="PR Preview" w:date="2026-01-01T00:00:00Z">
        <w:r>
          <w:delText xml:space="preserve"> </w:delText>
        </w:r>
      </w:del>
      <m:oMath>
        <m:r>
          <m:t>5</m:t>
        </m:r>
      </m:oMath>
      <w:del w:id="98" w:author="PR Preview" w:date="2026-01-01T00:00:00Z">
        <w:r>
          <w:delText xml:space="preserve">,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so the sum is</w:delText>
        </w:r>
      </w:del>
      <w:del w:id="101" w:author="PR Preview" w:date="2026-01-01T00:00:00Z">
        <w:r>
          <w:delText xml:space="preserve"> </w:delText>
        </w:r>
      </w:del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del w:id="102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4"/>
        </w:numPr>
      </w:pPr>
      <w:del w:id="103" w:author="PR Preview" w:date="2026-01-01T00:00:00Z">
        <w:r>
          <w:delText xml:space="preserve">In</w:delText>
        </w:r>
      </w:del>
      <w:del w:id="104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del w:id="105" w:author="PR Preview" w:date="2026-01-01T00:00:00Z">
        <w:r>
          <w:delText xml:space="preserve">, the lower limit is</w:delText>
        </w:r>
      </w:del>
      <w:del w:id="106" w:author="PR Preview" w:date="2026-01-01T00:00:00Z">
        <w:r>
          <w:delText xml:space="preserve"> </w:delText>
        </w:r>
      </w:del>
      <m:oMath>
        <m:r>
          <m:t>0</m:t>
        </m:r>
      </m:oMath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and the upper limit is</w:delText>
        </w:r>
      </w:del>
      <w:del w:id="109" w:author="PR Preview" w:date="2026-01-01T00:00:00Z">
        <w:r>
          <w:delText xml:space="preserve"> </w:delText>
        </w:r>
      </w:del>
      <m:oMath>
        <m:r>
          <m:t>3</m:t>
        </m:r>
      </m:oMath>
      <w:del w:id="110" w:author="PR Preview" w:date="2026-01-01T00:00:00Z">
        <w:r>
          <w:delText xml:space="preserve">.</w:delText>
        </w:r>
      </w:del>
    </w:p>
    <w:p>
      <w:pPr>
        <w:pStyle w:val="FirstParagraph"/>
      </w:pPr>
      <w:del w:id="111" w:author="PR Preview" w:date="2026-01-01T00:00:00Z">
        <w:r>
          <w:rPr>
            <w:i/>
            <w:iCs/>
          </w:rPr>
          <w:delText xml:space="preserve">Remark 2</w:delText>
        </w:r>
      </w:del>
      <w:del w:id="112" w:author="PR Preview" w:date="2026-01-01T00:00:00Z">
        <w:r>
          <w:delText xml:space="preserve"> (Two meanings of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“limit”</w:delText>
        </w:r>
      </w:del>
      <w:del w:id="115" w:author="PR Preview" w:date="2026-01-01T00:00:00Z">
        <w:r>
          <w:delText xml:space="preserve">). </w:delText>
        </w:r>
      </w:del>
      <w:del w:id="116" w:author="PR Preview" w:date="2026-01-01T00:00:00Z">
        <w:r>
          <w:delText xml:space="preserve">The lower and upper limits of a sum or integral (</w:delText>
        </w:r>
      </w:del>
      <w:hyperlink w:anchor="def-lower-upper-limits">
        <w:del w:id="117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18" w:author="PR Preview" w:date="2026-01-01T00:00:00Z">
        <w:r>
          <w:delText xml:space="preserve">,</w:delText>
        </w:r>
      </w:del>
      <w:del w:id="119" w:author="PR Preview" w:date="2026-01-01T00:00:00Z">
        <w:r>
          <w:delText xml:space="preserve"> </w:delText>
        </w:r>
      </w:del>
      <w:hyperlink w:anchor="def-upper-limit">
        <w:del w:id="120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21" w:author="PR Preview" w:date="2026-01-01T00:00:00Z">
        <w:r>
          <w:delText xml:space="preserve">)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are not limits in the calculus sense,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such as the</w:delText>
        </w:r>
      </w:del>
      <w:del w:id="126" w:author="PR Preview" w:date="2026-01-01T00:00:00Z">
        <w:r>
          <w:delText xml:space="preserve"> </w:delText>
        </w:r>
      </w:del>
      <w:hyperlink r:id="rId24">
        <w:del w:id="127" w:author="PR Preview" w:date="2026-01-01T00:00:00Z">
          <w:r>
            <w:rPr>
              <w:rStyle w:val="Hyperlink"/>
            </w:rPr>
            <w:delText xml:space="preserve">limit of a function</w:delText>
          </w:r>
        </w:del>
      </w:hyperlink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or the</w:delText>
        </w:r>
      </w:del>
      <w:del w:id="130" w:author="PR Preview" w:date="2026-01-01T00:00:00Z">
        <w:r>
          <w:delText xml:space="preserve"> </w:delText>
        </w:r>
      </w:del>
      <w:hyperlink r:id="rId26">
        <w:del w:id="131" w:author="PR Preview" w:date="2026-01-01T00:00:00Z">
          <w:r>
            <w:rPr>
              <w:rStyle w:val="Hyperlink"/>
            </w:rPr>
            <w:delText xml:space="preserve">limit of a sequence</w:delText>
          </w:r>
        </w:del>
      </w:hyperlink>
      <w:del w:id="132" w:author="PR Preview" w:date="2026-01-01T00:00:00Z">
        <w:r>
          <w:delText xml:space="preserve">.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They are the ends of the values the index or variable runs over.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The two meanings meet in an integral such as</w:delText>
        </w:r>
      </w:del>
      <w:del w:id="137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38" w:author="PR Preview" w:date="2026-01-01T00:00:00Z">
        <w:r>
          <w:delText xml:space="preserve">,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which means</w:delText>
        </w:r>
      </w:del>
      <w:del w:id="14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42" w:author="PR Preview" w:date="2026-01-01T00:00:00Z">
        <w:r>
          <w:delText xml:space="preserve">: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the upper limit</w:delText>
        </w:r>
      </w:del>
      <w:del w:id="145" w:author="PR Preview" w:date="2026-01-01T00:00:00Z">
        <w:r>
          <w:delText xml:space="preserve"> </w:delText>
        </w:r>
      </w:del>
      <m:oMath>
        <m:r>
          <m:t>b</m:t>
        </m:r>
      </m:oMath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is sent to infinity by a calculus limit.</w:delText>
        </w:r>
      </w:del>
    </w:p>
    <w:p>
      <w:pPr>
        <w:pStyle w:val="BodyText"/>
      </w:pPr>
      <w:del w:id="148" w:author="PR Preview" w:date="2026-01-01T00:00:00Z">
        <w:r>
          <w:rPr>
            <w:b/>
            <w:bCs/>
          </w:rPr>
          <w:delText xml:space="preserve">Definition 13 (Notational shorthand)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A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rPr>
            <w:b/>
            <w:bCs/>
          </w:rPr>
          <w:delText xml:space="preserve">notational shorthand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is a way of writing an expression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that leaves part of the expression out,</w:delText>
        </w:r>
      </w:del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such as the set a sum runs over or the limits of an integral,</w:delText>
        </w:r>
      </w:del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and relies on the reader to supply the missing part from context.</w:delText>
        </w:r>
      </w:del>
    </w:p>
    <w:p>
      <w:pPr>
        <w:pStyle w:val="BodyText"/>
      </w:pPr>
      <w:del w:id="161" w:author="PR Preview" w:date="2026-01-01T00:00:00Z">
        <w:r>
          <w:rPr>
            <w:b/>
            <w:bCs/>
          </w:rPr>
          <w:delText xml:space="preserve">Definition 14 (Full form)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The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rPr>
            <w:b/>
            <w:bCs/>
          </w:rPr>
          <w:delText xml:space="preserve">full form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of a notational shorthand (</w:delText>
        </w:r>
      </w:del>
      <w:hyperlink w:anchor="def-notational-shorthand">
        <w:del w:id="168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169" w:author="PR Preview" w:date="2026-01-01T00:00:00Z">
        <w:r>
          <w:delText xml:space="preserve">)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is the expression with every part written out.</w:delText>
        </w:r>
      </w:del>
    </w:p>
    <w:p>
      <w:pPr>
        <w:pStyle w:val="FirstParagraph"/>
      </w:pPr>
      <w:del w:id="172" w:author="PR Preview" w:date="2026-01-01T00:00:00Z">
        <w:r>
          <w:rPr>
            <w:b/>
            <w:bCs/>
          </w:rPr>
          <w:delText xml:space="preserve">Definition 15 (Range of a variable)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The</w:delText>
        </w:r>
      </w:del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rPr>
            <w:b/>
            <w:bCs/>
          </w:rPr>
          <w:delText xml:space="preserve">range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of a variable</w:delText>
        </w:r>
      </w:del>
      <w:del w:id="179" w:author="PR Preview" w:date="2026-01-01T00:00:00Z">
        <w:r>
          <w:delText xml:space="preserve"> </w:delText>
        </w:r>
      </w:del>
      <m:oMath>
        <m:r>
          <m:t>x</m:t>
        </m:r>
      </m:oMath>
      <w:del w:id="180" w:author="PR Preview" w:date="2026-01-01T00:00:00Z">
        <w:r>
          <w:delText xml:space="preserve">, written</w:delText>
        </w:r>
      </w:del>
      <w:del w:id="18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82" w:author="PR Preview" w:date="2026-01-01T00:00:00Z">
        <w:r>
          <w:delText xml:space="preserve">,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is the set of values that</w:delText>
        </w:r>
      </w:del>
      <w:del w:id="185" w:author="PR Preview" w:date="2026-01-01T00:00:00Z">
        <w:r>
          <w:delText xml:space="preserve"> </w:delText>
        </w:r>
      </w:del>
      <m:oMath>
        <m:r>
          <m:t>x</m:t>
        </m:r>
      </m:oMath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can take.</w:delText>
        </w:r>
      </w:del>
    </w:p>
    <w:p>
      <w:pPr>
        <w:pStyle w:val="BodyText"/>
      </w:pPr>
      <w:del w:id="188" w:author="PR Preview" w:date="2026-01-01T00:00:00Z">
        <w:r>
          <w:delText xml:space="preserve">For example,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if</w:delText>
        </w:r>
      </w:del>
      <w:del w:id="191" w:author="PR Preview" w:date="2026-01-01T00:00:00Z">
        <w:r>
          <w:delText xml:space="preserve"> </w:delText>
        </w:r>
      </w:del>
      <m:oMath>
        <m:r>
          <m:t>x</m:t>
        </m:r>
      </m:oMath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is the number of heads in two tosses of a coin,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then</w:delText>
        </w:r>
      </w:del>
      <w:del w:id="19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197" w:author="PR Preview" w:date="2026-01-01T00:00:00Z">
        <w:r>
          <w:delText xml:space="preserve">.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A</w:delText>
        </w:r>
      </w:del>
      <w:del w:id="200" w:author="PR Preview" w:date="2026-01-01T00:00:00Z">
        <w:r>
          <w:delText xml:space="preserve"> </w:delText>
        </w:r>
      </w:del>
      <w:hyperlink r:id="rId14">
        <w:del w:id="201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202" w:author="PR Preview" w:date="2026-01-01T00:00:00Z">
        <w:r>
          <w:delText xml:space="preserve"> </w:delText>
        </w:r>
      </w:del>
      <m:oMath>
        <m:r>
          <m:t>X</m:t>
        </m:r>
      </m:oMath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(defined in the Morrison Lab’s probability notes)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is a</w:delText>
        </w:r>
      </w:del>
      <w:del w:id="207" w:author="PR Preview" w:date="2026-01-01T00:00:00Z">
        <w:r>
          <w:delText xml:space="preserve"> </w:delText>
        </w:r>
      </w:del>
      <w:hyperlink r:id="rId27">
        <w:del w:id="208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09" w:author="PR Preview" w:date="2026-01-01T00:00:00Z">
        <w:r>
          <w:delText xml:space="preserve">,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and the set of values</w:delText>
        </w:r>
      </w:del>
      <w:del w:id="212" w:author="PR Preview" w:date="2026-01-01T00:00:00Z">
        <w:r>
          <w:delText xml:space="preserve"> </w:delText>
        </w:r>
      </w:del>
      <m:oMath>
        <m:r>
          <m:t>X</m:t>
        </m:r>
      </m:oMath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can take,</w:delText>
        </w:r>
      </w:del>
      <w:del w:id="21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16" w:author="PR Preview" w:date="2026-01-01T00:00:00Z">
        <w:r>
          <w:delText xml:space="preserve">,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is the</w:delText>
        </w:r>
      </w:del>
      <w:del w:id="219" w:author="PR Preview" w:date="2026-01-01T00:00:00Z">
        <w:r>
          <w:delText xml:space="preserve"> </w:delText>
        </w:r>
      </w:del>
      <w:hyperlink r:id="rId28">
        <w:del w:id="220" w:author="PR Preview" w:date="2026-01-01T00:00:00Z">
          <w:r>
            <w:rPr>
              <w:rStyle w:val="Hyperlink"/>
            </w:rPr>
            <w:delText xml:space="preserve">image</w:delText>
          </w:r>
        </w:del>
      </w:hyperlink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of</w:delText>
        </w:r>
      </w:del>
      <w:del w:id="223" w:author="PR Preview" w:date="2026-01-01T00:00:00Z">
        <w:r>
          <w:delText xml:space="preserve"> </w:delText>
        </w:r>
      </w:del>
      <m:oMath>
        <m:r>
          <m:t>X</m:t>
        </m:r>
      </m:oMath>
      <w:del w:id="224" w:author="PR Preview" w:date="2026-01-01T00:00:00Z">
        <w:r>
          <w:delText xml:space="preserve">.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These notes use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“range”</w:delText>
        </w:r>
      </w:del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only for variables: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for a function,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“range”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can mean either the image or the codomain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(</w:delText>
        </w:r>
      </w:del>
      <w:hyperlink r:id="rId29">
        <w:del w:id="239" w:author="PR Preview" w:date="2026-01-01T00:00:00Z">
          <w:r>
            <w:rPr>
              <w:rStyle w:val="Hyperlink"/>
            </w:rPr>
            <w:delText xml:space="preserve">Image and range</w:delText>
          </w:r>
        </w:del>
      </w:hyperlink>
      <w:del w:id="240" w:author="PR Preview" w:date="2026-01-01T00:00:00Z">
        <w:r>
          <w:delText xml:space="preserve">).</w:delText>
        </w:r>
      </w:del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In statistics,</w:delText>
        </w:r>
      </w:del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“the range”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of a dataset can also mean</w:delText>
        </w:r>
      </w:del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its largest value minus its smallest value;</w:delText>
        </w:r>
      </w:del>
      <w:del w:id="24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is a set, not that difference.</w:delText>
        </w:r>
      </w:del>
    </w:p>
    <w:p>
      <w:pPr>
        <w:pStyle w:val="BodyText"/>
      </w:pPr>
      <w:hyperlink w:anchor="tbl-notational-shorthands">
        <w:del w:id="252" w:author="PR Preview" w:date="2026-01-01T00:00:00Z">
          <w:r>
            <w:rPr>
              <w:rStyle w:val="Hyperlink"/>
            </w:rPr>
            <w:delText xml:space="preserve">Table 3</w:delText>
          </w:r>
        </w:del>
      </w:hyperlink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lists shorthands you may meet in other sources,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the full form each one abbreviates,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and the part each one leaves out.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In the table,</w:delText>
        </w:r>
      </w:del>
      <w:del w:id="26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262" w:author="PR Preview" w:date="2026-01-01T00:00:00Z">
        <w:r>
          <w:delText xml:space="preserve"> </w:delText>
        </w:r>
      </w:del>
      <w:del w:id="263" w:author="PR Preview" w:date="2026-01-01T00:00:00Z">
        <w:r>
          <w:delText xml:space="preserve">and</w:delText>
        </w:r>
      </w:del>
      <w:del w:id="26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are</w:delText>
        </w:r>
      </w:del>
      <w:del w:id="267" w:author="PR Preview" w:date="2026-01-01T00:00:00Z">
        <w:r>
          <w:delText xml:space="preserve"> </w:delText>
        </w:r>
      </w:del>
      <m:oMath>
        <m:r>
          <m:t>n</m:t>
        </m:r>
      </m:oMath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numbers,</w:delText>
        </w:r>
      </w:del>
      <w:del w:id="270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is the entry in row</w:delText>
        </w:r>
      </w:del>
      <w:del w:id="273" w:author="PR Preview" w:date="2026-01-01T00:00:00Z">
        <w:r>
          <w:delText xml:space="preserve"> </w:delText>
        </w:r>
      </w:del>
      <m:oMath>
        <m:r>
          <m:t>i</m:t>
        </m:r>
      </m:oMath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and column</w:delText>
        </w:r>
      </w:del>
      <w:del w:id="276" w:author="PR Preview" w:date="2026-01-01T00:00:00Z">
        <w:r>
          <w:delText xml:space="preserve"> </w:delText>
        </w:r>
      </w:del>
      <m:oMath>
        <m:r>
          <m:t>j</m:t>
        </m:r>
      </m:oMath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of an</w:delText>
        </w:r>
      </w:del>
      <w:del w:id="279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array,</w:delText>
        </w:r>
      </w:del>
      <w:del w:id="282" w:author="PR Preview" w:date="2026-01-01T00:00:00Z">
        <w:r>
          <w:delText xml:space="preserve"> </w:delText>
        </w:r>
      </w:del>
      <m:oMath>
        <m:r>
          <m:t>k</m:t>
        </m:r>
      </m:oMath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is an integer with</w:delText>
        </w:r>
      </w:del>
      <w:del w:id="28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del w:id="286" w:author="PR Preview" w:date="2026-01-01T00:00:00Z">
        <w:r>
          <w:delText xml:space="preserve">,</w:delText>
        </w:r>
      </w:del>
      <w:del w:id="287" w:author="PR Preview" w:date="2026-01-01T00:00:00Z">
        <w:r>
          <w:delText xml:space="preserve"> </w:delText>
        </w:r>
      </w:del>
      <m:oMath>
        <m:r>
          <m:t>f</m:t>
        </m:r>
      </m:oMath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is a</w:delText>
        </w:r>
      </w:del>
      <w:del w:id="290" w:author="PR Preview" w:date="2026-01-01T00:00:00Z">
        <w:r>
          <w:delText xml:space="preserve"> </w:delText>
        </w:r>
      </w:del>
      <w:hyperlink r:id="rId27">
        <w:del w:id="291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from</w:delText>
        </w:r>
      </w:del>
      <w:del w:id="29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to</w:delText>
        </w:r>
      </w:del>
      <w:del w:id="297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298" w:author="PR Preview" w:date="2026-01-01T00:00:00Z">
        <w:r>
          <w:delText xml:space="preserve">,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and, in the first row,</w:delText>
        </w:r>
      </w:del>
      <w:del w:id="30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is a finite set.</w:delText>
        </w:r>
      </w:del>
    </w:p>
    <w:p>
      <w:pPr>
        <w:pStyle w:val="BodyText"/>
      </w:pPr>
      <w:del w:id="304" w:author="PR Preview" w:date="2026-01-01T00:00:00Z">
        <w:r>
          <w:rPr>
            <w:i/>
            <w:iCs/>
          </w:rPr>
          <w:delText xml:space="preserve">Remark 3</w:delText>
        </w:r>
      </w:del>
      <w:del w:id="305" w:author="PR Preview" w:date="2026-01-01T00:00:00Z">
        <w:r>
          <w:delText xml:space="preserve"> (</w:delText>
        </w:r>
      </w:del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has two readings). </w:delText>
        </w:r>
      </w:del>
      <w:del w:id="308" w:author="PR Preview" w:date="2026-01-01T00:00:00Z">
        <w:r>
          <w:delText xml:space="preserve">In calculus,</w:delText>
        </w:r>
      </w:del>
      <w:del w:id="309" w:author="PR Preview" w:date="2026-01-01T00:00:00Z">
        <w:r>
          <w:delText xml:space="preserve"> </w:delText>
        </w:r>
      </w:del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with no limits is not a shorthand:</w:delText>
        </w:r>
      </w:del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it is the</w:delText>
        </w:r>
      </w:del>
      <w:del w:id="314" w:author="PR Preview" w:date="2026-01-01T00:00:00Z">
        <w:r>
          <w:delText xml:space="preserve"> </w:delText>
        </w:r>
      </w:del>
      <w:hyperlink r:id="rId30">
        <w:del w:id="315" w:author="PR Preview" w:date="2026-01-01T00:00:00Z">
          <w:r>
            <w:rPr>
              <w:rStyle w:val="Hyperlink"/>
            </w:rPr>
            <w:delText xml:space="preserve">indefinite integral</w:delText>
          </w:r>
        </w:del>
      </w:hyperlink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of</w:delText>
        </w:r>
      </w:del>
      <w:del w:id="318" w:author="PR Preview" w:date="2026-01-01T00:00:00Z">
        <w:r>
          <w:delText xml:space="preserve"> </w:delText>
        </w:r>
      </w:del>
      <m:oMath>
        <m:r>
          <m:t>f</m:t>
        </m:r>
      </m:oMath>
      <w:del w:id="319" w:author="PR Preview" w:date="2026-01-01T00:00:00Z">
        <w:r>
          <w:delText xml:space="preserve">,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a family of functions rather than a number.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Some sources, especially in probability,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also write</w:delText>
        </w:r>
      </w:del>
      <w:del w:id="326" w:author="PR Preview" w:date="2026-01-01T00:00:00Z">
        <w:r>
          <w:delText xml:space="preserve"> </w:delText>
        </w:r>
      </w:del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for the number</w:delText>
        </w:r>
      </w:del>
      <w:del w:id="329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330" w:author="PR Preview" w:date="2026-01-01T00:00:00Z">
        <w:r>
          <w:delText xml:space="preserve">.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Writing the limits out tells the reader which of the two is meant.</w:delText>
        </w:r>
      </w:del>
    </w:p>
    <w:p>
      <w:pPr>
        <w:pStyle w:val="BodyText"/>
      </w:pPr>
      <w:del w:id="333" w:author="PR Preview" w:date="2026-01-01T00:00:00Z">
        <w:r>
          <w:rPr>
            <w:b/>
            <w:bCs/>
          </w:rPr>
          <w:delText xml:space="preserve">Example 9 (Writing out an index shorthand)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Let</w:delText>
        </w:r>
      </w:del>
      <w:del w:id="33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</m:t>
        </m:r>
      </m:oMath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and</w:delText>
        </w:r>
      </w:del>
      <w:del w:id="33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40" w:author="PR Preview" w:date="2026-01-01T00:00:00Z">
        <w:r>
          <w:delText xml:space="preserve">.</w:delText>
        </w:r>
      </w:del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A source that writes</w:delText>
        </w:r>
      </w:del>
      <w:del w:id="343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means</w:delText>
        </w:r>
      </w:del>
      <w:del w:id="346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34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Heading2"/>
      </w:pPr>
      <w:del w:id="348" w:author="PR Preview" w:date="2026-01-01T00:00:00Z">
        <w:r>
          <w:delText xml:space="preserve">4 Why is notation in probability and statistics so inconsistent and disorganized?</w:delText>
        </w:r>
      </w:del>
    </w:p>
    <w:p>
      <w:pPr>
        <w:pStyle w:val="Heading2"/>
      </w:pPr>
      <w:ins w:id="349" w:author="PR Preview" w:date="2026-01-01T00:00:00Z">
        <w:r>
          <w:t xml:space="preserve">3 Why is notation in probability and statistics so inconsistent and disorganized?</w:t>
        </w:r>
      </w:ins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7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7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7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7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7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5"/>
    <w:bookmarkStart w:id="81" w:name="sec-further-reading"/>
    <w:p>
      <w:pPr>
        <w:pStyle w:val="Heading2"/>
      </w:pPr>
      <w:del w:id="350" w:author="PR Preview" w:date="2026-01-01T00:00:00Z">
        <w:r>
          <w:delText xml:space="preserve">5 Further reading</w:delText>
        </w:r>
      </w:del>
    </w:p>
    <w:p>
      <w:pPr>
        <w:pStyle w:val="Heading2"/>
      </w:pPr>
      <w:ins w:id="351" w:author="PR Preview" w:date="2026-01-01T00:00:00Z">
        <w:r>
          <w:t xml:space="preserve">4 Further reading</w:t>
        </w:r>
      </w:ins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76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1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7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7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del w:id="352" w:author="PR Preview" w:date="2026-01-01T00:00:00Z">
        <w:r>
          <w:delText xml:space="preserve">For set and function notation, see the</w:delText>
        </w:r>
      </w:del>
      <w:del w:id="353" w:author="PR Preview" w:date="2026-01-01T00:00:00Z">
        <w:r>
          <w:delText xml:space="preserve"> </w:delText>
        </w:r>
      </w:del>
      <w:hyperlink r:id="rId31">
        <w:del w:id="354" w:author="PR Preview" w:date="2026-01-01T00:00:00Z">
          <w:r>
            <w:rPr>
              <w:rStyle w:val="Hyperlink"/>
            </w:rPr>
            <w:delText xml:space="preserve">Sets and Functions</w:delText>
          </w:r>
        </w:del>
      </w:hyperlink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page.</w:delText>
        </w:r>
      </w:del>
    </w:p>
    <w:p>
      <w:pPr>
        <w:pStyle w:val="FirstParagraph"/>
      </w:pPr>
      <w:ins w:id="357" w:author="PR Preview" w:date="2026-01-01T00:00:00Z">
        <w:r>
          <w:t xml:space="preserve">For set and function notation, see the</w:t>
        </w:r>
      </w:ins>
      <w:ins w:id="358" w:author="PR Preview" w:date="2026-01-01T00:00:00Z">
        <w:r>
          <w:t xml:space="preserve"> </w:t>
        </w:r>
      </w:ins>
      <w:hyperlink r:id="rId78">
        <w:ins w:id="359" w:author="PR Preview" w:date="2026-01-01T00:00:00Z">
          <w:r>
            <w:rPr>
              <w:rStyle w:val="Hyperlink"/>
            </w:rPr>
            <w:t xml:space="preserve">Sets</w:t>
          </w:r>
        </w:ins>
      </w:hyperlink>
      <w:ins w:id="360" w:author="PR Preview" w:date="2026-01-01T00:00:00Z">
        <w:r>
          <w:t xml:space="preserve">,</w:t>
        </w:r>
      </w:ins>
      <w:ins w:id="361" w:author="PR Preview" w:date="2026-01-01T00:00:00Z">
        <w:r>
          <w:t xml:space="preserve"> </w:t>
        </w:r>
      </w:ins>
      <w:hyperlink r:id="rId79">
        <w:ins w:id="362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363" w:author="PR Preview" w:date="2026-01-01T00:00:00Z">
        <w:r>
          <w:t xml:space="preserve">, and</w:t>
        </w:r>
      </w:ins>
      <w:ins w:id="364" w:author="PR Preview" w:date="2026-01-01T00:00:00Z">
        <w:r>
          <w:t xml:space="preserve"> </w:t>
        </w:r>
      </w:ins>
      <w:hyperlink r:id="rId80">
        <w:ins w:id="365" w:author="PR Preview" w:date="2026-01-01T00:00:00Z">
          <w:r>
            <w:rPr>
              <w:rStyle w:val="Hyperlink"/>
            </w:rPr>
            <w:t xml:space="preserve">Expressions and Algorithms</w:t>
          </w:r>
        </w:ins>
      </w:hyperlink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pages.</w:t>
        </w:r>
      </w:ins>
    </w:p>
    <w:bookmarkEnd w:id="81"/>
    <w:bookmarkStart w:id="89" w:name="references"/>
    <w:p>
      <w:pPr>
        <w:pStyle w:val="Heading2"/>
      </w:pPr>
      <w:r>
        <w:t xml:space="preserve">References</w:t>
      </w:r>
    </w:p>
    <w:bookmarkStart w:id="88" w:name="refs"/>
    <w:bookmarkStart w:id="8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8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83"/>
    <w:bookmarkStart w:id="8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8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85"/>
    <w:bookmarkStart w:id="8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6" Type="http://schemas.openxmlformats.org/officeDocument/2006/relationships/hyperlink" Target="algebra-basics.html#def-identity" TargetMode="Externa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80" Type="http://schemas.openxmlformats.org/officeDocument/2006/relationships/hyperlink" Target="expressions-algorithms.qmd" TargetMode="External"/><Relationship Id="rId79" Type="http://schemas.openxmlformats.org/officeDocument/2006/relationships/hyperlink" Target="functions.qmd" TargetMode="External"/><Relationship Id="rId58" Type="http://schemas.openxmlformats.org/officeDocument/2006/relationships/hyperlink" Target="functions.qmd#def-domain" TargetMode="External"/><Relationship Id="rId50" Type="http://schemas.openxmlformats.org/officeDocument/2006/relationships/hyperlink" Target="functions.qmd#def-finite-set" TargetMode="External"/><Relationship Id="rId86" Type="http://schemas.openxmlformats.org/officeDocument/2006/relationships/hyperlink" Target="https://doi.org/10.1017/9781108539890" TargetMode="External"/><Relationship Id="rId84" Type="http://schemas.openxmlformats.org/officeDocument/2006/relationships/hyperlink" Target="https://doi.org/10.2307/2344614" TargetMode="External"/><Relationship Id="rId70" Type="http://schemas.openxmlformats.org/officeDocument/2006/relationships/hyperlink" Target="https://en.wikipedia.org/wiki/Al-Jabr" TargetMode="External"/><Relationship Id="rId71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73" Type="http://schemas.openxmlformats.org/officeDocument/2006/relationships/hyperlink" Target="https://en.wikipedia.org/wiki/History_of_statistics#Development_of_modern_statistics" TargetMode="External"/><Relationship Id="rId43" Type="http://schemas.openxmlformats.org/officeDocument/2006/relationships/hyperlink" Target="https://en.wikipedia.org/wiki/Iverson_bracket" TargetMode="External"/><Relationship Id="rId69" Type="http://schemas.openxmlformats.org/officeDocument/2006/relationships/hyperlink" Target="https://en.wikipedia.org/wiki/Leibniz%27s_notation" TargetMode="External"/><Relationship Id="rId72" Type="http://schemas.openxmlformats.org/officeDocument/2006/relationships/hyperlink" Target="https://en.wikipedia.org/wiki/Notation_for_differentiation" TargetMode="External"/><Relationship Id="rId74" Type="http://schemas.openxmlformats.org/officeDocument/2006/relationships/hyperlink" Target="https://en.wikipedia.org/wiki/The_Structure_of_Scientific_Revolutions" TargetMode="External"/><Relationship Id="rId52" Type="http://schemas.openxmlformats.org/officeDocument/2006/relationships/hyperlink" Target="https://morrison-lab.github.io/pds/expectation.html#def-cond-expectation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64" Type="http://schemas.openxmlformats.org/officeDocument/2006/relationships/hyperlink" Target="https://morrison-lab.github.io/pds/probability-basics.html#def-event" TargetMode="External"/><Relationship Id="rId65" Type="http://schemas.openxmlformats.org/officeDocument/2006/relationships/hyperlink" Target="https://morrison-lab.github.io/pds/probability-basics.html#def-probability" TargetMode="External"/><Relationship Id="rId63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5" Type="http://schemas.openxmlformats.org/officeDocument/2006/relationships/hyperlink" Target="https://quarto.org/docs/authoring/markdown-basics.html#equations" TargetMode="External"/><Relationship Id="rId82" Type="http://schemas.openxmlformats.org/officeDocument/2006/relationships/hyperlink" Target="https://www.amazon.com/dp/1575866323" TargetMode="External"/><Relationship Id="rId60" Type="http://schemas.openxmlformats.org/officeDocument/2006/relationships/hyperlink" Target="linear-algebra-special-matrices.html#def-idempotent-matrix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37" Type="http://schemas.openxmlformats.org/officeDocument/2006/relationships/hyperlink" Target="proof-writing.qmd#def-inequality" TargetMode="External"/><Relationship Id="rId57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33" Type="http://schemas.openxmlformats.org/officeDocument/2006/relationships/hyperlink" Target="proof-writing.qmd#def-predicate" TargetMode="External"/><Relationship Id="rId77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76" Type="http://schemas.openxmlformats.org/officeDocument/2006/relationships/hyperlink" Target="proof-writing.qmd#sec-proof-definitions" TargetMode="External"/><Relationship Id="rId78" Type="http://schemas.openxmlformats.org/officeDocument/2006/relationships/hyperlink" Target="sets.qmd" TargetMode="External"/><Relationship Id="rId51" Type="http://schemas.openxmlformats.org/officeDocument/2006/relationships/hyperlink" Target="sets.qmd#def-closed-interval" TargetMode="External"/><Relationship Id="rId62" Type="http://schemas.openxmlformats.org/officeDocument/2006/relationships/hyperlink" Target="sets.qmd#def-complement" TargetMode="External"/><Relationship Id="rId17" Type="http://schemas.openxmlformats.org/officeDocument/2006/relationships/hyperlink" Target="algebra-sums.html#def-summation" TargetMode="External"/><Relationship Id="rId21" Type="http://schemas.openxmlformats.org/officeDocument/2006/relationships/hyperlink" Target="calculus-integration.html#def-riemann-integral" TargetMode="External"/><Relationship Id="rId24" Type="http://schemas.openxmlformats.org/officeDocument/2006/relationships/hyperlink" Target="calculus-derivatives.html#def-limit" TargetMode="External"/><Relationship Id="rId26" Type="http://schemas.openxmlformats.org/officeDocument/2006/relationships/hyperlink" Target="algebra-exponentials.html#def-sequence-limit" TargetMode="External"/><Relationship Id="rId27" Type="http://schemas.openxmlformats.org/officeDocument/2006/relationships/hyperlink" Target="sets-functions.qmd#def-function" TargetMode="External"/><Relationship Id="rId28" Type="http://schemas.openxmlformats.org/officeDocument/2006/relationships/hyperlink" Target="sets-functions.qmd#def-image" TargetMode="External"/><Relationship Id="rId29" Type="http://schemas.openxmlformats.org/officeDocument/2006/relationships/hyperlink" Target="sets-functions.qmd#rem-image-range" TargetMode="External"/><Relationship Id="rId30" Type="http://schemas.openxmlformats.org/officeDocument/2006/relationships/hyperlink" Target="calculus-integration.html#def-indefinite-integral" TargetMode="External"/><Relationship Id="rId31" Type="http://schemas.openxmlformats.org/officeDocument/2006/relationships/hyperlink" Target="sets-functions.qmd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algebra-basics.html#def-identity" TargetMode="Externa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80" Type="http://schemas.openxmlformats.org/officeDocument/2006/relationships/hyperlink" Target="expressions-algorithms.qmd" TargetMode="External"/><Relationship Id="rId79" Type="http://schemas.openxmlformats.org/officeDocument/2006/relationships/hyperlink" Target="functions.qmd" TargetMode="External"/><Relationship Id="rId58" Type="http://schemas.openxmlformats.org/officeDocument/2006/relationships/hyperlink" Target="functions.qmd#def-domain" TargetMode="External"/><Relationship Id="rId50" Type="http://schemas.openxmlformats.org/officeDocument/2006/relationships/hyperlink" Target="functions.qmd#def-finite-set" TargetMode="External"/><Relationship Id="rId86" Type="http://schemas.openxmlformats.org/officeDocument/2006/relationships/hyperlink" Target="https://doi.org/10.1017/9781108539890" TargetMode="External"/><Relationship Id="rId84" Type="http://schemas.openxmlformats.org/officeDocument/2006/relationships/hyperlink" Target="https://doi.org/10.2307/2344614" TargetMode="External"/><Relationship Id="rId70" Type="http://schemas.openxmlformats.org/officeDocument/2006/relationships/hyperlink" Target="https://en.wikipedia.org/wiki/Al-Jabr" TargetMode="External"/><Relationship Id="rId71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73" Type="http://schemas.openxmlformats.org/officeDocument/2006/relationships/hyperlink" Target="https://en.wikipedia.org/wiki/History_of_statistics#Development_of_modern_statistics" TargetMode="External"/><Relationship Id="rId43" Type="http://schemas.openxmlformats.org/officeDocument/2006/relationships/hyperlink" Target="https://en.wikipedia.org/wiki/Iverson_bracket" TargetMode="External"/><Relationship Id="rId69" Type="http://schemas.openxmlformats.org/officeDocument/2006/relationships/hyperlink" Target="https://en.wikipedia.org/wiki/Leibniz%27s_notation" TargetMode="External"/><Relationship Id="rId72" Type="http://schemas.openxmlformats.org/officeDocument/2006/relationships/hyperlink" Target="https://en.wikipedia.org/wiki/Notation_for_differentiation" TargetMode="External"/><Relationship Id="rId74" Type="http://schemas.openxmlformats.org/officeDocument/2006/relationships/hyperlink" Target="https://en.wikipedia.org/wiki/The_Structure_of_Scientific_Revolutions" TargetMode="External"/><Relationship Id="rId52" Type="http://schemas.openxmlformats.org/officeDocument/2006/relationships/hyperlink" Target="https://morrison-lab.github.io/pds/expectation.html#def-cond-expectation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64" Type="http://schemas.openxmlformats.org/officeDocument/2006/relationships/hyperlink" Target="https://morrison-lab.github.io/pds/probability-basics.html#def-event" TargetMode="External"/><Relationship Id="rId65" Type="http://schemas.openxmlformats.org/officeDocument/2006/relationships/hyperlink" Target="https://morrison-lab.github.io/pds/probability-basics.html#def-probability" TargetMode="External"/><Relationship Id="rId63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5" Type="http://schemas.openxmlformats.org/officeDocument/2006/relationships/hyperlink" Target="https://quarto.org/docs/authoring/markdown-basics.html#equations" TargetMode="External"/><Relationship Id="rId82" Type="http://schemas.openxmlformats.org/officeDocument/2006/relationships/hyperlink" Target="https://www.amazon.com/dp/1575866323" TargetMode="External"/><Relationship Id="rId60" Type="http://schemas.openxmlformats.org/officeDocument/2006/relationships/hyperlink" Target="linear-algebra-special-matrices.html#def-idempotent-matrix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37" Type="http://schemas.openxmlformats.org/officeDocument/2006/relationships/hyperlink" Target="proof-writing.qmd#def-inequality" TargetMode="External"/><Relationship Id="rId57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33" Type="http://schemas.openxmlformats.org/officeDocument/2006/relationships/hyperlink" Target="proof-writing.qmd#def-predicate" TargetMode="External"/><Relationship Id="rId77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76" Type="http://schemas.openxmlformats.org/officeDocument/2006/relationships/hyperlink" Target="proof-writing.qmd#sec-proof-definitions" TargetMode="External"/><Relationship Id="rId78" Type="http://schemas.openxmlformats.org/officeDocument/2006/relationships/hyperlink" Target="sets.qmd" TargetMode="External"/><Relationship Id="rId51" Type="http://schemas.openxmlformats.org/officeDocument/2006/relationships/hyperlink" Target="sets.qmd#def-closed-interval" TargetMode="External"/><Relationship Id="rId62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2026-10-16T03:28:35Z</dcterms:created>
  <dcterms:modified xsi:type="dcterms:W3CDTF">2026-10-16T03:28:35Z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