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2026-10-14 15:47:20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</w:t>
      </w:r>
      <w:r>
        <w:t xml:space="preserve"> </w:t>
      </w:r>
      <w:hyperlink r:id="rId10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page’s definitions.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39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5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2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5"/>
    <w:bookmarkStart w:id="17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r>
        <w:t xml:space="preserve">Billingsley (1995)</w:t>
      </w:r>
      <w:r>
        <w:t xml:space="preserve"> </w:t>
      </w:r>
      <w:r>
        <w:t xml:space="preserve">uses</w:t>
      </w:r>
      <w:r>
        <w:t xml:space="preserve"> </w:t>
      </w:r>
      <w:r>
        <w:t xml:space="preserve">“</w:t>
      </w:r>
      <m:oMath>
        <m:r>
          <m:t>σ</m:t>
        </m:r>
      </m:oMath>
      <w:r>
        <w:t xml:space="preserve">-field”</w:t>
      </w:r>
      <w:r>
        <w:t xml:space="preserve">.</w:t>
      </w:r>
      <w:r>
        <w:t xml:space="preserve"> </w:t>
      </w:r>
      <w:r>
        <w:t xml:space="preserve">The two names mean the same thing.</w:t>
      </w:r>
      <w:r>
        <w:t xml:space="preserve"> </w:t>
      </w:r>
      <w:r>
        <w:t xml:space="preserve">Casella and Berger call it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.</w:t>
      </w:r>
      <w:r>
        <w:t xml:space="preserve"> </w:t>
      </w:r>
      <w:r>
        <w:t xml:space="preserve">That 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losed-under"/>
    <w:p>
      <w:pPr>
        <w:pStyle w:val="BodyText"/>
      </w:pPr>
      <w:r>
        <w:rPr>
          <w:b/>
          <w:bCs/>
        </w:rPr>
        <w:t xml:space="preserve">Definition 2 (Closed under an operation (closure))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21"/>
    <w:bookmarkStart w:id="23" w:name="exm-closed-under"/>
    <w:p>
      <w:pPr>
        <w:pStyle w:val="BodyText"/>
      </w:pPr>
      <w:r>
        <w:rPr>
          <w:b/>
          <w:bCs/>
        </w:rPr>
        <w:t xml:space="preserve">Example 3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 complements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 unions of sequences of its sets,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 collection 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3"/>
    <w:bookmarkStart w:id="26" w:name="thm-sigma-algebra-closure"/>
    <w:p>
      <w:pPr>
        <w:pStyle w:val="FirstParagraph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5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closed-under">
        <w:r>
          <w:rPr>
            <w:rStyle w:val="Hyperlink"/>
          </w:rPr>
          <w:t xml:space="preserve">closed under</w:t>
        </w:r>
      </w:hyperlink>
      <w:r>
        <w:t xml:space="preserve"> </w:t>
      </w:r>
      <w:r>
        <w:t xml:space="preserve">finite unions</w:t>
      </w:r>
      <w:r>
        <w:t xml:space="preserve"> </w:t>
      </w:r>
      <w:r>
        <w:t xml:space="preserve">and under intersections of sequences of its sets.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7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8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4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0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29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5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1" w:name="def-generated-sigma-algebra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1"/>
    <w:bookmarkStart w:id="32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3"/>
    <w:bookmarkStart w:id="35" w:name="def-borel-sigma-algebra"/>
    <w:p>
      <w:pPr>
        <w:pStyle w:val="BodyText"/>
      </w:pPr>
      <w:r>
        <w:rPr>
          <w:b/>
          <w:bCs/>
        </w:rPr>
        <w:t xml:space="preserve">Definition 4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4">
        <w:r>
          <w:rPr>
            <w:rStyle w:val="Hyperlink"/>
          </w:rPr>
          <w:t xml:space="preserve">intervals</w:t>
        </w:r>
      </w:hyperlink>
      <w:r>
        <w:t xml:space="preserve">.</w:t>
      </w:r>
      <w:r>
        <w:t xml:space="preserve"> </w:t>
      </w:r>
      <w:r>
        <w:t xml:space="preserve">Its sets are called</w:t>
      </w:r>
      <w:r>
        <w:t xml:space="preserve"> </w:t>
      </w:r>
      <w:r>
        <w:rPr>
          <w:b/>
          <w:bCs/>
        </w:rPr>
        <w:t xml:space="preserve">Borel sets</w:t>
      </w:r>
      <w:r>
        <w:t xml:space="preserve">.</w:t>
      </w:r>
    </w:p>
    <w:bookmarkEnd w:id="35"/>
    <w:bookmarkStart w:id="38" w:name="exm-borel-sigma-algebra"/>
    <w:p>
      <w:pPr>
        <w:pStyle w:val="BodyText"/>
      </w:pPr>
      <w:r>
        <w:rPr>
          <w:b/>
          <w:bCs/>
        </w:rPr>
        <w:t xml:space="preserve">Example 5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Every interval,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 Borel set.</w:t>
      </w:r>
    </w:p>
    <w:p>
      <w:pPr>
        <w:pStyle w:val="Compact"/>
        <w:numPr>
          <w:ilvl w:val="0"/>
          <w:numId w:val="1006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 union of the sequence 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complement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8"/>
    <w:bookmarkEnd w:id="39"/>
    <w:bookmarkStart w:id="42" w:name="pairwise-disjoint-sets"/>
    <w:p>
      <w:pPr>
        <w:pStyle w:val="Heading2"/>
      </w:pPr>
      <w:r>
        <w:t xml:space="preserve">2 Pairwise disjoint sets</w:t>
      </w:r>
    </w:p>
    <w:bookmarkStart w:id="40" w:name="def-pairwise-disjoint"/>
    <w:p>
      <w:pPr>
        <w:pStyle w:val="FirstParagraph"/>
      </w:pPr>
      <w:r>
        <w:rPr>
          <w:b/>
          <w:bCs/>
        </w:rPr>
        <w:t xml:space="preserve">Definition 5 (Pairwise disjoint sets (disjoint,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40"/>
    <w:bookmarkStart w:id="41" w:name="exm-pairwise-disjoint"/>
    <w:p>
      <w:pPr>
        <w:pStyle w:val="FirstParagraph"/>
      </w:pPr>
      <w:r>
        <w:rPr>
          <w:b/>
          <w:bCs/>
        </w:rPr>
        <w:t xml:space="preserve">Example 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41"/>
    <w:bookmarkEnd w:id="42"/>
    <w:bookmarkStart w:id="57" w:name="infinite-sums"/>
    <w:p>
      <w:pPr>
        <w:pStyle w:val="Heading2"/>
      </w:pPr>
      <w:r>
        <w:t xml:space="preserve">3 Infinite sums</w:t>
      </w:r>
    </w:p>
    <w:bookmarkStart w:id="44" w:name="def-non-decreasing"/>
    <w:p>
      <w:pPr>
        <w:pStyle w:val="FirstParagraph"/>
      </w:pPr>
      <w:r>
        <w:rPr>
          <w:b/>
          <w:bCs/>
        </w:rPr>
        <w:t xml:space="preserve">Definition 6 (Non-decreasing sequence)</w:t>
      </w:r>
      <w:r>
        <w:t xml:space="preserve"> </w:t>
      </w:r>
      <w:r>
        <w:t xml:space="preserve">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44"/>
    <w:bookmarkStart w:id="45" w:name="exm-non-decreasing"/>
    <w:p>
      <w:pPr>
        <w:pStyle w:val="FirstParagraph"/>
      </w:pPr>
      <w:r>
        <w:rPr>
          <w:b/>
          <w:bCs/>
        </w:rPr>
        <w:t xml:space="preserve">Example 7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45"/>
    <w:bookmarkStart w:id="47" w:name="def-partial-sum"/>
    <w:p>
      <w:pPr>
        <w:pStyle w:val="FirstParagraph"/>
      </w:pPr>
      <w:r>
        <w:rPr>
          <w:b/>
          <w:bCs/>
        </w:rPr>
        <w:t xml:space="preserve">Definition 7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47"/>
    <w:bookmarkStart w:id="48" w:name="exm-partial-sum"/>
    <w:p>
      <w:pPr>
        <w:pStyle w:val="FirstParagraph"/>
      </w:pPr>
      <w:r>
        <w:rPr>
          <w:b/>
          <w:bCs/>
        </w:rPr>
        <w:t xml:space="preserve">Example 8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8"/>
    <w:bookmarkStart w:id="51" w:name="def-infinite-sum"/>
    <w:p>
      <w:pPr>
        <w:pStyle w:val="BodyText"/>
      </w:pPr>
      <w:r>
        <w:rPr>
          <w:b/>
          <w:bCs/>
        </w:rPr>
        <w:t xml:space="preserve">Definition 8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r:id="rId49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r:id="rId50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1"/>
    <w:bookmarkStart w:id="52" w:name="exm-infinite-sum"/>
    <w:p>
      <w:pPr>
        <w:pStyle w:val="BodyText"/>
      </w:pPr>
      <w:r>
        <w:rPr>
          <w:b/>
          <w:bCs/>
        </w:rPr>
        <w:t xml:space="preserve">Example 9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2"/>
    <w:bookmarkStart w:id="53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r:id="rId49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4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55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r:id="rId49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7"/>
    <w:bookmarkStart w:id="75" w:name="additivity"/>
    <w:p>
      <w:pPr>
        <w:pStyle w:val="Heading2"/>
      </w:pPr>
      <w:r>
        <w:t xml:space="preserve">4 Additivity</w:t>
      </w:r>
    </w:p>
    <w:bookmarkStart w:id="59" w:name="def-finite-additivity"/>
    <w:p>
      <w:pPr>
        <w:pStyle w:val="FirstParagraph"/>
      </w:pPr>
      <w:r>
        <w:rPr>
          <w:b/>
          <w:bCs/>
        </w:rPr>
        <w:t xml:space="preserve">Definition 9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9"/>
    <w:bookmarkStart w:id="60" w:name="exm-finite-additivity"/>
    <w:p>
      <w:pPr>
        <w:pStyle w:val="FirstParagraph"/>
      </w:pPr>
      <w:r>
        <w:rPr>
          <w:b/>
          <w:bCs/>
        </w:rPr>
        <w:t xml:space="preserve">Example 10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6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60"/>
    <w:bookmarkStart w:id="61" w:name="exm-not-finitely-additive"/>
    <w:p>
      <w:pPr>
        <w:pStyle w:val="BodyText"/>
      </w:pPr>
      <w:r>
        <w:rPr>
          <w:b/>
          <w:bCs/>
        </w:rPr>
        <w:t xml:space="preserve">Example 11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61"/>
    <w:bookmarkStart w:id="62" w:name="def-countable-additivity"/>
    <w:p>
      <w:pPr>
        <w:pStyle w:val="BodyText"/>
      </w:pPr>
      <w:r>
        <w:rPr>
          <w:b/>
          <w:bCs/>
        </w:rPr>
        <w:t xml:space="preserve">Definition 10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2"/>
    <w:bookmarkStart w:id="63" w:name="exm-countable-additivity"/>
    <w:p>
      <w:pPr>
        <w:pStyle w:val="FirstParagraph"/>
      </w:pPr>
      <w:r>
        <w:rPr>
          <w:b/>
          <w:bCs/>
        </w:rPr>
        <w:t xml:space="preserve">Example 12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63"/>
    <w:bookmarkStart w:id="64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4"/>
    <w:bookmarkStart w:id="65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66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67" w:name="exm-empty-set-zero"/>
    <w:p>
      <w:pPr>
        <w:pStyle w:val="BodyText"/>
      </w:pPr>
      <w:r>
        <w:rPr>
          <w:b/>
          <w:bCs/>
        </w:rPr>
        <w:t xml:space="preserve">Example 13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67"/>
    <w:bookmarkStart w:id="68" w:name="exm-empty-set-infinity"/>
    <w:p>
      <w:pPr>
        <w:pStyle w:val="FirstParagraph"/>
      </w:pPr>
      <w:r>
        <w:rPr>
          <w:b/>
          <w:bCs/>
        </w:rPr>
        <w:t xml:space="preserve">Example 14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8"/>
    <w:bookmarkStart w:id="69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69"/>
    <w:bookmarkStart w:id="70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1" w:name="exm-finite-not-countable"/>
    <w:p>
      <w:pPr>
        <w:pStyle w:val="FirstParagraph"/>
      </w:pPr>
      <w:r>
        <w:rPr>
          <w:b/>
          <w:bCs/>
        </w:rPr>
        <w:t xml:space="preserve">Example 15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71"/>
    <w:bookmarkStart w:id="74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2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73">
        <w:r>
          <w:rPr>
            <w:rStyle w:val="Hyperlink"/>
          </w:rPr>
          <w:t xml:space="preserve">Wikipedia: Sigma-additive set function,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-additive”</w:t>
        </w:r>
      </w:hyperlink>
      <w:r>
        <w:t xml:space="preserve">).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74"/>
    <w:bookmarkEnd w:id="75"/>
    <w:bookmarkStart w:id="100" w:name="measures"/>
    <w:p>
      <w:pPr>
        <w:pStyle w:val="Heading2"/>
      </w:pPr>
      <w:r>
        <w:t xml:space="preserve">5 Measures</w:t>
      </w:r>
    </w:p>
    <w:bookmarkStart w:id="76" w:name="def-measure"/>
    <w:p>
      <w:pPr>
        <w:pStyle w:val="FirstParagraph"/>
      </w:pPr>
      <w:r>
        <w:rPr>
          <w:b/>
          <w:bCs/>
        </w:rPr>
        <w:t xml:space="preserve">Definition 11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76"/>
    <w:bookmarkStart w:id="77" w:name="exm-measure"/>
    <w:p>
      <w:pPr>
        <w:pStyle w:val="FirstParagraph"/>
      </w:pPr>
      <w:r>
        <w:rPr>
          <w:b/>
          <w:bCs/>
        </w:rPr>
        <w:t xml:space="preserve">Example 16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77"/>
    <w:bookmarkStart w:id="78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79" w:name="def-counting-measure"/>
    <w:p>
      <w:pPr>
        <w:pStyle w:val="BodyText"/>
      </w:pPr>
      <w:r>
        <w:rPr>
          <w:b/>
          <w:bCs/>
        </w:rPr>
        <w:t xml:space="preserve">Definition 12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9"/>
    <w:bookmarkStart w:id="81" w:name="exm-counting-measure"/>
    <w:p>
      <w:pPr>
        <w:pStyle w:val="FirstParagraph"/>
      </w:pPr>
      <w:r>
        <w:rPr>
          <w:b/>
          <w:bCs/>
        </w:rPr>
        <w:t xml:space="preserve">Example 17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80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measurable-space"/>
    <w:p>
      <w:pPr>
        <w:pStyle w:val="FirstParagraph"/>
      </w:pPr>
      <w:r>
        <w:rPr>
          <w:b/>
          <w:bCs/>
        </w:rPr>
        <w:t xml:space="preserve">Definition 13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82"/>
    <w:bookmarkStart w:id="83" w:name="exm-measurable-space"/>
    <w:p>
      <w:pPr>
        <w:pStyle w:val="BodyText"/>
      </w:pPr>
      <w:r>
        <w:rPr>
          <w:b/>
          <w:bCs/>
        </w:rPr>
        <w:t xml:space="preserve">Example 18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83"/>
    <w:bookmarkStart w:id="84" w:name="def-measure-space"/>
    <w:p>
      <w:pPr>
        <w:pStyle w:val="FirstParagraph"/>
      </w:pPr>
      <w:r>
        <w:rPr>
          <w:b/>
          <w:bCs/>
        </w:rPr>
        <w:t xml:space="preserve">Definition 14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84"/>
    <w:bookmarkStart w:id="85" w:name="exm-measure-space"/>
    <w:p>
      <w:pPr>
        <w:pStyle w:val="BodyText"/>
      </w:pPr>
      <w:r>
        <w:rPr>
          <w:b/>
          <w:bCs/>
        </w:rPr>
        <w:t xml:space="preserve">Example 19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85"/>
    <w:bookmarkStart w:id="86" w:name="def-lebesgue-measure"/>
    <w:p>
      <w:pPr>
        <w:pStyle w:val="BodyText"/>
      </w:pPr>
      <w:r>
        <w:rPr>
          <w:b/>
          <w:bCs/>
        </w:rPr>
        <w:t xml:space="preserve">Definition 15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bookmarkEnd w:id="86"/>
    <w:bookmarkStart w:id="88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(see</w:t>
      </w:r>
      <w:r>
        <w:t xml:space="preserve"> </w:t>
      </w:r>
      <w:hyperlink r:id="rId87">
        <w:r>
          <w:rPr>
            <w:rStyle w:val="Hyperlink"/>
          </w:rPr>
          <w:t xml:space="preserve">Wikipedia: Lebesgue measure</w:t>
        </w:r>
      </w:hyperlink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sets).</w:t>
      </w:r>
    </w:p>
    <w:bookmarkEnd w:id="88"/>
    <w:bookmarkStart w:id="89" w:name="def-lebesgue-measure-interval"/>
    <w:p>
      <w:pPr>
        <w:pStyle w:val="BodyText"/>
      </w:pPr>
      <w:r>
        <w:rPr>
          <w:b/>
          <w:bCs/>
        </w:rPr>
        <w:t xml:space="preserve">Definition 16 (Lebesgue measure on an interval)</w:t>
      </w:r>
      <w:r>
        <w:t xml:space="preserve"> </w:t>
      </w: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 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89"/>
    <w:bookmarkStart w:id="90" w:name="exm-lebesgue-measure"/>
    <w:p>
      <w:pPr>
        <w:pStyle w:val="BodyText"/>
      </w:pPr>
      <w:r>
        <w:rPr>
          <w:b/>
          <w:bCs/>
        </w:rPr>
        <w:t xml:space="preserve">Example 20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5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0"/>
    <w:bookmarkStart w:id="93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91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92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93"/>
    <w:bookmarkStart w:id="94" w:name="def-measure-zero"/>
    <w:p>
      <w:pPr>
        <w:pStyle w:val="BodyText"/>
      </w:pPr>
      <w:r>
        <w:rPr>
          <w:b/>
          <w:bCs/>
        </w:rPr>
        <w:t xml:space="preserve">Definition 17 (Measure zero (null set))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4"/>
    <w:bookmarkStart w:id="95" w:name="exm-measure-zero"/>
    <w:p>
      <w:pPr>
        <w:pStyle w:val="BodyText"/>
      </w:pPr>
      <w:r>
        <w:rPr>
          <w:b/>
          <w:bCs/>
        </w:rPr>
        <w:t xml:space="preserve">Example 21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95"/>
    <w:bookmarkStart w:id="96" w:name="def-almost-everywhere"/>
    <w:p>
      <w:pPr>
        <w:pStyle w:val="FirstParagraph"/>
      </w:pPr>
      <w:r>
        <w:rPr>
          <w:b/>
          <w:bCs/>
        </w:rPr>
        <w:t xml:space="preserve">Definition 18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96"/>
    <w:bookmarkStart w:id="97" w:name="exm-almost-everywhere"/>
    <w:p>
      <w:pPr>
        <w:pStyle w:val="BodyText"/>
      </w:pPr>
      <w:r>
        <w:rPr>
          <w:b/>
          <w:bCs/>
        </w:rPr>
        <w:t xml:space="preserve">Example 22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97"/>
    <w:bookmarkStart w:id="98" w:name="def-sigma-finite"/>
    <w:p>
      <w:pPr>
        <w:pStyle w:val="BodyText"/>
      </w:pPr>
      <w:r>
        <w:rPr>
          <w:b/>
          <w:bCs/>
        </w:rPr>
        <w:t xml:space="preserve">Definition 19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8"/>
    <w:bookmarkStart w:id="99" w:name="exm-sigma-finite"/>
    <w:p>
      <w:pPr>
        <w:pStyle w:val="BodyText"/>
      </w:pPr>
      <w:r>
        <w:rPr>
          <w:b/>
          <w:bCs/>
        </w:rPr>
        <w:t xml:space="preserve">Example 23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9"/>
    <w:bookmarkEnd w:id="100"/>
    <w:bookmarkStart w:id="105" w:name="probability-measures"/>
    <w:p>
      <w:pPr>
        <w:pStyle w:val="Heading2"/>
      </w:pPr>
      <w:r>
        <w:t xml:space="preserve">6 Probability measures</w:t>
      </w:r>
    </w:p>
    <w:bookmarkStart w:id="101" w:name="def-probability-measure"/>
    <w:p>
      <w:pPr>
        <w:pStyle w:val="FirstParagraph"/>
      </w:pPr>
      <w:r>
        <w:rPr>
          <w:b/>
          <w:bCs/>
        </w:rPr>
        <w:t xml:space="preserve">Definition 20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01"/>
    <w:bookmarkStart w:id="102" w:name="exm-probability-measure"/>
    <w:p>
      <w:pPr>
        <w:pStyle w:val="FirstParagraph"/>
      </w:pPr>
      <w:r>
        <w:rPr>
          <w:b/>
          <w:bCs/>
        </w:rPr>
        <w:t xml:space="preserve">Example 24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102"/>
    <w:bookmarkStart w:id="103" w:name="def-probability-space"/>
    <w:p>
      <w:pPr>
        <w:pStyle w:val="FirstParagraph"/>
      </w:pPr>
      <w:r>
        <w:rPr>
          <w:b/>
          <w:bCs/>
        </w:rPr>
        <w:t xml:space="preserve">Definition 21 (Probability space, sample space, outcomes and events)</w:t>
      </w:r>
      <w:r>
        <w:t xml:space="preserve"> </w:t>
      </w:r>
      <w:r>
        <w:t xml:space="preserve">For a probability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20</w:t>
        </w:r>
      </w:hyperlink>
      <w:r>
        <w:t xml:space="preserve">) 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,</w:t>
      </w:r>
      <w:r>
        <w:t xml:space="preserve"> </w:t>
      </w:r>
      <w:r>
        <w:t xml:space="preserve">the elements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outcomes</w:t>
      </w:r>
      <w:r>
        <w:t xml:space="preserve">,</w:t>
      </w:r>
      <w:r>
        <w:t xml:space="preserve"> </w:t>
      </w:r>
      <w:r>
        <w:t xml:space="preserve">and 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</w:p>
    <w:bookmarkEnd w:id="103"/>
    <w:bookmarkStart w:id="104" w:name="rem-mutually-exclusive"/>
    <w:p>
      <w:pPr>
        <w:pStyle w:val="BodyText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 probability,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04"/>
    <w:bookmarkEnd w:id="105"/>
    <w:bookmarkStart w:id="124" w:name="measurable-functions-and-integrals"/>
    <w:p>
      <w:pPr>
        <w:pStyle w:val="Heading2"/>
      </w:pPr>
      <w:r>
        <w:t xml:space="preserve">7 Measurable functions and integrals</w:t>
      </w:r>
    </w:p>
    <w:bookmarkStart w:id="106" w:name="def-measurable-function"/>
    <w:p>
      <w:pPr>
        <w:pStyle w:val="FirstParagraph"/>
      </w:pPr>
      <w:r>
        <w:rPr>
          <w:b/>
          <w:bCs/>
        </w:rPr>
        <w:t xml:space="preserve">Definition 22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06"/>
    <w:bookmarkStart w:id="108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(see</w:t>
      </w:r>
      <w:r>
        <w:t xml:space="preserve"> </w:t>
      </w:r>
      <w:hyperlink r:id="rId107">
        <w:r>
          <w:rPr>
            <w:rStyle w:val="Hyperlink"/>
          </w:rPr>
          <w:t xml:space="preserve">Wikipedia: Measurable function</w:t>
        </w:r>
      </w:hyperlink>
      <w:r>
        <w:t xml:space="preserve">).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22</w:t>
        </w:r>
      </w:hyperlink>
      <w:r>
        <w:t xml:space="preserve">.</w:t>
      </w:r>
    </w:p>
    <w:bookmarkEnd w:id="108"/>
    <w:bookmarkStart w:id="109" w:name="exm-measurable-function"/>
    <w:p>
      <w:pPr>
        <w:pStyle w:val="BodyText"/>
      </w:pPr>
      <w:r>
        <w:rPr>
          <w:b/>
          <w:bCs/>
        </w:rPr>
        <w:t xml:space="preserve">Example 25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09"/>
    <w:bookmarkStart w:id="112" w:name="def-integral-nonneg"/>
    <w:p>
      <w:pPr>
        <w:pStyle w:val="BodyText"/>
      </w:pPr>
      <w:r>
        <w:rPr>
          <w:b/>
          <w:bCs/>
        </w:rPr>
        <w:t xml:space="preserve">Definition 23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10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(Billingsley 1995, sec. 15)</w:t>
      </w:r>
    </w:p>
    <w:bookmarkEnd w:id="112"/>
    <w:bookmarkStart w:id="115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13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(see</w:t>
      </w:r>
      <w:r>
        <w:t xml:space="preserve"> </w:t>
      </w:r>
      <w:hyperlink r:id="rId114">
        <w:r>
          <w:rPr>
            <w:rStyle w:val="Hyperlink"/>
          </w:rPr>
          <w:t xml:space="preserve">Wikipedia: Lebesgue integral</w:t>
        </w:r>
      </w:hyperlink>
      <w:r>
        <w:t xml:space="preserve">).</w:t>
      </w:r>
    </w:p>
    <w:bookmarkEnd w:id="115"/>
    <w:bookmarkStart w:id="116" w:name="exm-integral-nonneg"/>
    <w:p>
      <w:pPr>
        <w:pStyle w:val="BodyText"/>
      </w:pPr>
      <w:r>
        <w:rPr>
          <w:b/>
          <w:bCs/>
        </w:rPr>
        <w:t xml:space="preserve">Example 26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25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6"/>
    <w:bookmarkStart w:id="117" w:name="def-positive-negative-parts"/>
    <w:p>
      <w:pPr>
        <w:pStyle w:val="BodyText"/>
      </w:pPr>
      <w:r>
        <w:rPr>
          <w:b/>
          <w:bCs/>
        </w:rPr>
        <w:t xml:space="preserve">Definition 24 (Positive and negative parts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the non-negative functions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measurable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(Billingsley 1995, Theorem 13.3)</w:t>
      </w:r>
      <w:r>
        <w:t xml:space="preserve">.)</w:t>
      </w:r>
    </w:p>
    <w:bookmarkEnd w:id="117"/>
    <w:bookmarkStart w:id="118" w:name="def-integral"/>
    <w:p>
      <w:pPr>
        <w:pStyle w:val="BodyText"/>
      </w:pPr>
      <w:r>
        <w:rPr>
          <w:b/>
          <w:bCs/>
        </w:rPr>
        <w:t xml:space="preserve">Definition 25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be the positive and negative parts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sitive-negative-parts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</w:p>
    <w:p>
      <w:pPr>
        <w:pStyle w:val="BodyText"/>
      </w:pPr>
      <w:r>
        <w:t xml:space="preserve">(Billingsley 1995, sec. 15)</w:t>
      </w:r>
    </w:p>
    <w:bookmarkEnd w:id="118"/>
    <w:bookmarkStart w:id="119" w:name="exm-integral"/>
    <w:p>
      <w:pPr>
        <w:pStyle w:val="BodyText"/>
      </w:pPr>
      <w:r>
        <w:rPr>
          <w:b/>
          <w:bCs/>
        </w:rPr>
        <w:t xml:space="preserve">Example 27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;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9"/>
    <w:bookmarkStart w:id="121" w:name="def-absolutely-integrable"/>
    <w:p>
      <w:pPr>
        <w:pStyle w:val="FirstParagraph"/>
      </w:pPr>
      <w:r>
        <w:rPr>
          <w:b/>
          <w:bCs/>
        </w:rPr>
        <w:t xml:space="preserve">Definition 26 (Absolutely integrable function (integrable function, absolute integrability))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20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21"/>
    <w:bookmarkStart w:id="122" w:name="rem-absolutely-integrable-integral"/>
    <w:p>
      <w:pPr>
        <w:pStyle w:val="BodyText"/>
      </w:pPr>
      <w:r>
        <w:rPr>
          <w:i/>
          <w:iCs/>
        </w:rPr>
        <w:t xml:space="preserve">Remark 11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25</w:t>
        </w:r>
      </w:hyperlink>
      <w:r>
        <w:t xml:space="preserve">) is a real number.</w:t>
      </w:r>
    </w:p>
    <w:bookmarkEnd w:id="122"/>
    <w:bookmarkStart w:id="123" w:name="exm-absolutely-integrable"/>
    <w:p>
      <w:pPr>
        <w:pStyle w:val="BodyText"/>
      </w:pPr>
      <w:r>
        <w:rPr>
          <w:b/>
          <w:bCs/>
        </w:rPr>
        <w:t xml:space="preserve">Example 28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27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.</w:t>
      </w:r>
    </w:p>
    <w:p>
      <w:pPr>
        <w:numPr>
          <w:ilvl w:val="0"/>
          <w:numId w:val="1017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).</w:t>
      </w:r>
    </w:p>
    <w:bookmarkEnd w:id="123"/>
    <w:bookmarkEnd w:id="124"/>
    <w:bookmarkStart w:id="136" w:name="lp-spaces"/>
    <w:p>
      <w:pPr>
        <w:pStyle w:val="Heading2"/>
      </w:pPr>
      <w:r>
        <w:t xml:space="preserve">8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26" w:name="def-lp-space"/>
    <w:p>
      <w:pPr>
        <w:pStyle w:val="FirstParagraph"/>
      </w:pPr>
      <w:r>
        <w:rPr>
          <w:b/>
          <w:bCs/>
        </w:rPr>
        <w:t xml:space="preserve">Definition 27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all measurable functions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 satisfy the definiteness axiom of a</w:t>
      </w:r>
      <w:r>
        <w:t xml:space="preserve"> </w:t>
      </w:r>
      <w:hyperlink r:id="rId125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functions that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(</w:t>
      </w:r>
      <m:oMath>
        <m:r>
          <m:t>μ</m:t>
        </m:r>
      </m:oMath>
      <w:r>
        <w:t xml:space="preserve">-a.e.) are identified into equivalence classes.</w:t>
      </w:r>
      <w:r>
        <w:t xml:space="preserve"> </w:t>
      </w:r>
      <w:r>
        <w:t xml:space="preserve">The resulting normed vector space is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, denoted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).</w:t>
      </w:r>
      <w:r>
        <w:t xml:space="preserve"> </w:t>
      </w:r>
      <w:r>
        <w:t xml:space="preserve">The case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is defined separately, in</w:t>
      </w:r>
      <w:r>
        <w:t xml:space="preserve"> </w:t>
      </w:r>
      <w:hyperlink w:anchor="def-linf-space">
        <w:r>
          <w:rPr>
            <w:rStyle w:val="Hyperlink"/>
          </w:rPr>
          <w:t xml:space="preserve">Definition 28</w:t>
        </w:r>
      </w:hyperlink>
      <w:r>
        <w:t xml:space="preserve">.</w:t>
      </w:r>
    </w:p>
    <w:bookmarkEnd w:id="126"/>
    <w:bookmarkStart w:id="127" w:name="exm-lp-space"/>
    <w:p>
      <w:pPr>
        <w:pStyle w:val="BodyText"/>
      </w:pPr>
      <w:r>
        <w:rPr>
          <w:b/>
          <w:bCs/>
        </w:rPr>
        <w:t xml:space="preserve">Example 29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equipped 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 integral 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Therefore,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 finite-measure sets: higher exponents impose stricter integrability requirements near singularities.</w:t>
      </w:r>
    </w:p>
    <w:bookmarkEnd w:id="127"/>
    <w:bookmarkStart w:id="128" w:name="def-linf-space"/>
    <w:p>
      <w:pPr>
        <w:pStyle w:val="BodyText"/>
      </w:pPr>
      <w:r>
        <w:rPr>
          <w:b/>
          <w:bCs/>
        </w:rPr>
        <w:t xml:space="preserve">Definition 28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 essential supremum norm)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 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equivalence classes of essentially bounded measurable functions,</w:t>
      </w:r>
      <w:r>
        <w:t xml:space="preserve"> </w:t>
      </w:r>
      <w:r>
        <w:t xml:space="preserve">identified as in</w:t>
      </w:r>
      <w:r>
        <w:t xml:space="preserve"> </w:t>
      </w:r>
      <w:hyperlink w:anchor="def-lp-space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when they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.</w:t>
      </w:r>
    </w:p>
    <w:bookmarkEnd w:id="128"/>
    <w:bookmarkStart w:id="129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27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29"/>
    <w:bookmarkStart w:id="130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27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25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30"/>
    <w:bookmarkStart w:id="132" w:name="exm-holder-inequality"/>
    <w:p>
      <w:pPr>
        <w:pStyle w:val="BodyText"/>
      </w:pPr>
      <w:r>
        <w:rPr>
          <w:b/>
          <w:bCs/>
        </w:rPr>
        <w:t xml:space="preserve">Example 30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31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32"/>
    <w:bookmarkStart w:id="135" w:name="rem-lp-spaces-machine-learning"/>
    <w:p>
      <w:pPr>
        <w:pStyle w:val="FirstParagraph"/>
      </w:pPr>
      <w:r>
        <w:rPr>
          <w:i/>
          <w:iCs/>
        </w:rPr>
        <w:t xml:space="preserve">Remark 12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20</w:t>
        </w:r>
      </w:hyperlink>
      <w:r>
        <w:t xml:space="preserve">) with total measure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33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34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expected mean squared error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squared error)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absolute error)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35"/>
    <w:bookmarkEnd w:id="136"/>
    <w:bookmarkStart w:id="142" w:name="product-measures"/>
    <w:p>
      <w:pPr>
        <w:pStyle w:val="Heading2"/>
      </w:pPr>
      <w:r>
        <w:t xml:space="preserve">9 Product measures</w:t>
      </w:r>
    </w:p>
    <w:bookmarkStart w:id="138" w:name="def-product-sigma-algebra"/>
    <w:p>
      <w:pPr>
        <w:pStyle w:val="FirstParagraph"/>
      </w:pPr>
      <w:r>
        <w:rPr>
          <w:b/>
          <w:bCs/>
        </w:rPr>
        <w:t xml:space="preserve">Definition 29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37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38"/>
    <w:bookmarkStart w:id="139" w:name="exm-product-sigma-algebra"/>
    <w:p>
      <w:pPr>
        <w:pStyle w:val="BodyText"/>
      </w:pPr>
      <w:r>
        <w:rPr>
          <w:b/>
          <w:bCs/>
        </w:rPr>
        <w:t xml:space="preserve">Example 31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39"/>
    <w:bookmarkStart w:id="140" w:name="def-product-measure"/>
    <w:p>
      <w:pPr>
        <w:pStyle w:val="FirstParagraph"/>
      </w:pPr>
      <w:r>
        <w:rPr>
          <w:b/>
          <w:bCs/>
        </w:rPr>
        <w:t xml:space="preserve">Definition 30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(Billingsley 1995, Theorem 18.2)</w:t>
      </w:r>
      <w:r>
        <w:t xml:space="preserve">.</w:t>
      </w:r>
    </w:p>
    <w:bookmarkEnd w:id="140"/>
    <w:bookmarkStart w:id="141" w:name="exm-product-measure"/>
    <w:p>
      <w:pPr>
        <w:pStyle w:val="BodyText"/>
      </w:pPr>
      <w:r>
        <w:rPr>
          <w:b/>
          <w:bCs/>
        </w:rPr>
        <w:t xml:space="preserve">Example 32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3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41"/>
    <w:bookmarkEnd w:id="142"/>
    <w:bookmarkStart w:id="143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4"/>
        </w:numPr>
      </w:pPr>
      <w:r>
        <w:t xml:space="preserve">Billingsley (1995)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4"/>
        </w:numPr>
      </w:pPr>
      <w:r>
        <w:t xml:space="preserve">Folland (1999)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4"/>
        </w:numPr>
      </w:pPr>
      <w:r>
        <w:t xml:space="preserve">Gut (2013)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43"/>
    <w:bookmarkStart w:id="152" w:name="references"/>
    <w:p>
      <w:pPr>
        <w:pStyle w:val="Heading2"/>
      </w:pPr>
      <w:r>
        <w:t xml:space="preserve">References</w:t>
      </w:r>
    </w:p>
    <w:bookmarkStart w:id="151" w:name="refs"/>
    <w:bookmarkStart w:id="14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44"/>
    <w:bookmarkStart w:id="14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6"/>
    <w:bookmarkStart w:id="148" w:name="ref-folland1999real"/>
    <w:p>
      <w:pPr>
        <w:pStyle w:val="Bibliography"/>
      </w:pPr>
      <w:r>
        <w:t xml:space="preserve">Folland, Gerald B. 1999.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. 2nd ed. Wiley.</w:t>
      </w:r>
      <w:r>
        <w:t xml:space="preserve"> </w:t>
      </w:r>
      <w:hyperlink r:id="rId147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  <w:r>
        <w:t xml:space="preserve">.</w:t>
      </w:r>
    </w:p>
    <w:bookmarkEnd w:id="148"/>
    <w:bookmarkStart w:id="150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49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50"/>
    <w:bookmarkEnd w:id="151"/>
    <w:bookmarkEnd w:id="1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0" Target="algebra-basics.html#def-absolute-value" TargetMode="External" /><Relationship Type="http://schemas.openxmlformats.org/officeDocument/2006/relationships/hyperlink" Id="rId50" Target="algebra-exponentials.html#def-diverges-to-infinity" TargetMode="External" /><Relationship Type="http://schemas.openxmlformats.org/officeDocument/2006/relationships/hyperlink" Id="rId49" Target="algebra-exponentials.html#def-sequence-limit" TargetMode="External" /><Relationship Type="http://schemas.openxmlformats.org/officeDocument/2006/relationships/hyperlink" Id="rId55" Target="algebra-sums.html#def-bounded" TargetMode="External" /><Relationship Type="http://schemas.openxmlformats.org/officeDocument/2006/relationships/hyperlink" Id="rId111" Target="algebra-sums.html#def-infimum" TargetMode="External" /><Relationship Type="http://schemas.openxmlformats.org/officeDocument/2006/relationships/hyperlink" Id="rId46" Target="algebra-sums.html#def-summation" TargetMode="External" /><Relationship Type="http://schemas.openxmlformats.org/officeDocument/2006/relationships/hyperlink" Id="rId110" Target="algebra-sums.html#def-supremum" TargetMode="External" /><Relationship Type="http://schemas.openxmlformats.org/officeDocument/2006/relationships/hyperlink" Id="rId133" Target="algebra-sums.html#thm-jensen" TargetMode="External" /><Relationship Type="http://schemas.openxmlformats.org/officeDocument/2006/relationships/hyperlink" Id="rId92" Target="calculus-double-integrals.qmd#thm-fubini-measure" TargetMode="External" /><Relationship Type="http://schemas.openxmlformats.org/officeDocument/2006/relationships/hyperlink" Id="rId91" Target="calculus-double-integrals.qmd#thm-tonelli-measure" TargetMode="External" /><Relationship Type="http://schemas.openxmlformats.org/officeDocument/2006/relationships/hyperlink" Id="rId113" Target="calculus-integration.html#def-riemann-integral" TargetMode="External" /><Relationship Type="http://schemas.openxmlformats.org/officeDocument/2006/relationships/hyperlink" Id="rId149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14" Target="https://en.wikipedia.org/wiki/Lebesgue_integral" TargetMode="External" /><Relationship Type="http://schemas.openxmlformats.org/officeDocument/2006/relationships/hyperlink" Id="rId87" Target="https://en.wikipedia.org/wiki/Lebesgue_measure" TargetMode="External" /><Relationship Type="http://schemas.openxmlformats.org/officeDocument/2006/relationships/hyperlink" Id="rId107" Target="https://en.wikipedia.org/wiki/Measurable_function" TargetMode="External" /><Relationship Type="http://schemas.openxmlformats.org/officeDocument/2006/relationships/hyperlink" Id="rId56" Target="https://en.wikipedia.org/wiki/Monotone_convergence_theorem" TargetMode="External" /><Relationship Type="http://schemas.openxmlformats.org/officeDocument/2006/relationships/hyperlink" Id="rId73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47" Target="https://www.wiley.com/en-us/Real+Analysis%3A+Modern+Techniques+and+Their+Applications%2C+2nd+Edition-p-9780471317166" TargetMode="External" /><Relationship Type="http://schemas.openxmlformats.org/officeDocument/2006/relationships/hyperlink" Id="rId134" Target="linear-algebra-inner-products.html#def-inner-product-space" TargetMode="External" /><Relationship Type="http://schemas.openxmlformats.org/officeDocument/2006/relationships/hyperlink" Id="rId125" Target="linear-algebra-inner-products.html#def-norm" TargetMode="External" /><Relationship Type="http://schemas.openxmlformats.org/officeDocument/2006/relationships/hyperlink" Id="rId131" Target="linear-algebra-inner-products.html#thm-cauchy-schwarz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80" Target="notation.qmd#def-nonnegative-integers" TargetMode="External" /><Relationship Type="http://schemas.openxmlformats.org/officeDocument/2006/relationships/hyperlink" Id="rId54" Target="notation.qmd#def-real-numbers" TargetMode="External" /><Relationship Type="http://schemas.openxmlformats.org/officeDocument/2006/relationships/hyperlink" Id="rId72" Target="proof-writing.qmd#def-converse" TargetMode="External" /><Relationship Type="http://schemas.openxmlformats.org/officeDocument/2006/relationships/hyperlink" Id="rId66" Target="proof-writing.qmd#def-proof-by-contradiction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37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8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0" Target="algebra-basics.html#def-absolute-value" TargetMode="External" /><Relationship Type="http://schemas.openxmlformats.org/officeDocument/2006/relationships/hyperlink" Id="rId50" Target="algebra-exponentials.html#def-diverges-to-infinity" TargetMode="External" /><Relationship Type="http://schemas.openxmlformats.org/officeDocument/2006/relationships/hyperlink" Id="rId49" Target="algebra-exponentials.html#def-sequence-limit" TargetMode="External" /><Relationship Type="http://schemas.openxmlformats.org/officeDocument/2006/relationships/hyperlink" Id="rId55" Target="algebra-sums.html#def-bounded" TargetMode="External" /><Relationship Type="http://schemas.openxmlformats.org/officeDocument/2006/relationships/hyperlink" Id="rId111" Target="algebra-sums.html#def-infimum" TargetMode="External" /><Relationship Type="http://schemas.openxmlformats.org/officeDocument/2006/relationships/hyperlink" Id="rId46" Target="algebra-sums.html#def-summation" TargetMode="External" /><Relationship Type="http://schemas.openxmlformats.org/officeDocument/2006/relationships/hyperlink" Id="rId110" Target="algebra-sums.html#def-supremum" TargetMode="External" /><Relationship Type="http://schemas.openxmlformats.org/officeDocument/2006/relationships/hyperlink" Id="rId133" Target="algebra-sums.html#thm-jensen" TargetMode="External" /><Relationship Type="http://schemas.openxmlformats.org/officeDocument/2006/relationships/hyperlink" Id="rId92" Target="calculus-double-integrals.qmd#thm-fubini-measure" TargetMode="External" /><Relationship Type="http://schemas.openxmlformats.org/officeDocument/2006/relationships/hyperlink" Id="rId91" Target="calculus-double-integrals.qmd#thm-tonelli-measure" TargetMode="External" /><Relationship Type="http://schemas.openxmlformats.org/officeDocument/2006/relationships/hyperlink" Id="rId113" Target="calculus-integration.html#def-riemann-integral" TargetMode="External" /><Relationship Type="http://schemas.openxmlformats.org/officeDocument/2006/relationships/hyperlink" Id="rId149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14" Target="https://en.wikipedia.org/wiki/Lebesgue_integral" TargetMode="External" /><Relationship Type="http://schemas.openxmlformats.org/officeDocument/2006/relationships/hyperlink" Id="rId87" Target="https://en.wikipedia.org/wiki/Lebesgue_measure" TargetMode="External" /><Relationship Type="http://schemas.openxmlformats.org/officeDocument/2006/relationships/hyperlink" Id="rId107" Target="https://en.wikipedia.org/wiki/Measurable_function" TargetMode="External" /><Relationship Type="http://schemas.openxmlformats.org/officeDocument/2006/relationships/hyperlink" Id="rId56" Target="https://en.wikipedia.org/wiki/Monotone_convergence_theorem" TargetMode="External" /><Relationship Type="http://schemas.openxmlformats.org/officeDocument/2006/relationships/hyperlink" Id="rId73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47" Target="https://www.wiley.com/en-us/Real+Analysis%3A+Modern+Techniques+and+Their+Applications%2C+2nd+Edition-p-9780471317166" TargetMode="External" /><Relationship Type="http://schemas.openxmlformats.org/officeDocument/2006/relationships/hyperlink" Id="rId134" Target="linear-algebra-inner-products.html#def-inner-product-space" TargetMode="External" /><Relationship Type="http://schemas.openxmlformats.org/officeDocument/2006/relationships/hyperlink" Id="rId125" Target="linear-algebra-inner-products.html#def-norm" TargetMode="External" /><Relationship Type="http://schemas.openxmlformats.org/officeDocument/2006/relationships/hyperlink" Id="rId131" Target="linear-algebra-inner-products.html#thm-cauchy-schwarz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80" Target="notation.qmd#def-nonnegative-integers" TargetMode="External" /><Relationship Type="http://schemas.openxmlformats.org/officeDocument/2006/relationships/hyperlink" Id="rId54" Target="notation.qmd#def-real-numbers" TargetMode="External" /><Relationship Type="http://schemas.openxmlformats.org/officeDocument/2006/relationships/hyperlink" Id="rId72" Target="proof-writing.qmd#def-converse" TargetMode="External" /><Relationship Type="http://schemas.openxmlformats.org/officeDocument/2006/relationships/hyperlink" Id="rId66" Target="proof-writing.qmd#def-proof-by-contradiction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37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8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2026-10-14T23:33:52Z</dcterms:created>
  <dcterms:modified xsi:type="dcterms:W3CDTF">2026-10-14T23:33:52Z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15:47:20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