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50.png" ContentType="image/png"/>
  <Override PartName="/word/media/rId26.png" ContentType="image/png"/>
  <Override PartName="/word/media/rId22.png" ContentType="image/png"/>
  <Override PartName="/word/media/rId89.png" ContentType="image/png"/>
  <Override PartName="/word/media/rId85.png" ContentType="image/png"/>
  <Override PartName="/word/media/rId72.png" ContentType="image/png"/>
  <Override PartName="/word/media/rId76.png" ContentType="image/png"/>
  <Override PartName="/word/media/rId57.png" ContentType="image/png"/>
  <Override PartName="/word/media/rId102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2026-09-28 05:02:54 (PDT)</w:t>
      </w:r>
    </w:p>
    <w:bookmarkStart w:id="19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19"/>
    <w:bookmarkStart w:id="9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34" w:name="antiderivatives"/>
    <w:p>
      <w:pPr>
        <w:pStyle w:val="Heading3"/>
      </w:pPr>
      <w:r>
        <w:t xml:space="preserve">2.1 Antiderivatives</w:t>
      </w:r>
    </w:p>
    <w:bookmarkStart w:id="20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20"/>
    <w:bookmarkStart w:id="21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1"/>
    <w:bookmarkStart w:id="31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3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30"/>
    <w:bookmarkEnd w:id="31"/>
    <w:bookmarkStart w:id="32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32"/>
    <w:bookmarkStart w:id="33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33"/>
    <w:bookmarkEnd w:id="34"/>
    <w:bookmarkStart w:id="64" w:name="regularity-conditions"/>
    <w:p>
      <w:pPr>
        <w:pStyle w:val="Heading3"/>
      </w:pPr>
      <w:r>
        <w:t xml:space="preserve">2.2 Regularity Conditions</w:t>
      </w:r>
    </w:p>
    <w:bookmarkStart w:id="35" w:name="def-differentiable"/>
    <w:p>
      <w:pPr>
        <w:pStyle w:val="FirstParagraph"/>
      </w:pPr>
      <w:r>
        <w:rPr>
          <w:b/>
          <w:bCs/>
        </w:rPr>
        <w:t xml:space="preserve">Definition 3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35"/>
    <w:bookmarkStart w:id="36" w:name="def-differentiable-on"/>
    <w:p>
      <w:pPr>
        <w:pStyle w:val="BodyText"/>
      </w:pPr>
      <w:r>
        <w:rPr>
          <w:b/>
          <w:bCs/>
        </w:rPr>
        <w:t xml:space="preserve">Definition 4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3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7" w:name="def-continuous"/>
    <w:p>
      <w:pPr>
        <w:pStyle w:val="BodyText"/>
      </w:pPr>
      <w:r>
        <w:rPr>
          <w:b/>
          <w:bCs/>
        </w:rPr>
        <w:t xml:space="preserve">Definition 5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7"/>
    <w:bookmarkStart w:id="38" w:name="def-continuous-on"/>
    <w:p>
      <w:pPr>
        <w:pStyle w:val="BodyText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5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8"/>
    <w:bookmarkStart w:id="39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39"/>
    <w:bookmarkStart w:id="40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0"/>
    <w:bookmarkStart w:id="41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1"/>
    <w:bookmarkStart w:id="42" w:name="def-mesh"/>
    <w:p>
      <w:pPr>
        <w:pStyle w:val="BodyText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(Larson and Edwards 2018, sec. 4.3)</w:t>
      </w:r>
    </w:p>
    <w:bookmarkEnd w:id="42"/>
    <w:bookmarkStart w:id="43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3"/>
    <w:bookmarkStart w:id="44" w:name="def-riemann-integral"/>
    <w:p>
      <w:pPr>
        <w:pStyle w:val="BodyText"/>
      </w:pPr>
      <w:r>
        <w:rPr>
          <w:b/>
          <w:bCs/>
        </w:rPr>
        <w:t xml:space="preserve">Definition 9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44"/>
    <w:bookmarkStart w:id="45" w:name="def-integrable"/>
    <w:p>
      <w:pPr>
        <w:pStyle w:val="BodyText"/>
      </w:pPr>
      <w:r>
        <w:rPr>
          <w:b/>
          <w:bCs/>
        </w:rPr>
        <w:t xml:space="preserve">Definition 10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its Riemann integral (</w:t>
      </w:r>
      <w:hyperlink w:anchor="def-riemann-integral">
        <w:r>
          <w:rPr>
            <w:rStyle w:val="Hyperlink"/>
          </w:rPr>
          <w:t xml:space="preserve">Definition 9</w:t>
        </w:r>
      </w:hyperlink>
      <w:r>
        <w:t xml:space="preserve">) 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exists and is finite.</w:t>
      </w:r>
    </w:p>
    <w:p>
      <w:pPr>
        <w:pStyle w:val="BodyText"/>
      </w:pPr>
      <w:r>
        <w:t xml:space="preserve">(Larson and Edwards 2018, sec. 4.3, p. 272)</w:t>
      </w:r>
    </w:p>
    <w:bookmarkEnd w:id="45"/>
    <w:bookmarkStart w:id="46" w:name="def-riemann-sum-equal-width"/>
    <w:p>
      <w:pPr>
        <w:pStyle w:val="BodyText"/>
      </w:pPr>
      <w:r>
        <w:rPr>
          <w:b/>
          <w:bCs/>
        </w:rPr>
        <w:t xml:space="preserve">Definition 11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46"/>
    <w:bookmarkStart w:id="47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7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48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hold.</w:t>
      </w:r>
    </w:p>
    <w:bookmarkStart w:id="49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49"/>
    <w:bookmarkStart w:id="54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53"/>
        </w:tc>
      </w:tr>
    </w:tbl>
    <w:bookmarkEnd w:id="54"/>
    <w:bookmarkStart w:id="55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55"/>
    <w:bookmarkStart w:id="56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56"/>
    <w:bookmarkStart w:id="61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bookmarkEnd w:id="6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62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11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63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63"/>
    <w:bookmarkEnd w:id="64"/>
    <w:bookmarkStart w:id="95" w:name="fundamental-theorem-of-calculus"/>
    <w:p>
      <w:pPr>
        <w:pStyle w:val="Heading3"/>
      </w:pPr>
      <w:r>
        <w:t xml:space="preserve">2.3 Fundamental Theorem of Calculus</w:t>
      </w:r>
    </w:p>
    <w:bookmarkStart w:id="71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69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70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71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81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8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7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7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80"/>
    <w:bookmarkEnd w:id="81"/>
    <w:bookmarkStart w:id="94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8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8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8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9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8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8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93"/>
    <w:bookmarkEnd w:id="94"/>
    <w:bookmarkEnd w:id="95"/>
    <w:bookmarkEnd w:id="96"/>
    <w:bookmarkStart w:id="12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9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 </w:t>
      </w:r>
      <w:r>
        <w:t xml:space="preserve">follow from a stated theorem rather than from an aside.</w:t>
      </w:r>
    </w:p>
    <w:bookmarkStart w:id="98" w:name="def-double-integral"/>
    <w:p>
      <w:pPr>
        <w:pStyle w:val="BodyText"/>
      </w:pPr>
      <w:r>
        <w:rPr>
          <w:b/>
          <w:bCs/>
        </w:rPr>
        <w:t xml:space="preserve">Definition 12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(Larson and Edwards 2018, sec. 14.2)</w:t>
      </w:r>
    </w:p>
    <w:bookmarkEnd w:id="98"/>
    <w:p>
      <w:pPr>
        <w:pStyle w:val="BodyText"/>
      </w:pP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iterated integral</w:t>
      </w:r>
      <w:r>
        <w:t xml:space="preserve"> </w:t>
      </w:r>
      <w:r>
        <w:t xml:space="preserve">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t> </m:t>
            </m:r>
            <m:r>
              <m:t>d</m:t>
            </m:r>
            <m:r>
              <m:t>y</m:t>
            </m:r>
          </m:e>
        </m:d>
        <m:r>
          <m:t>​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fixed.</w:t>
      </w:r>
    </w:p>
    <w:bookmarkStart w:id="99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9"/>
    <w:bookmarkStart w:id="100" w:name="thm-fubini"/>
    <w:p>
      <w:pPr>
        <w:pStyle w:val="BodyText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00"/>
    <w:bookmarkStart w:id="107" w:name="exm-fubini-nonrect"/>
    <w:p>
      <w:pPr>
        <w:pStyle w:val="BodyText"/>
      </w:pPr>
      <w:r>
        <w:rPr>
          <w:b/>
          <w:bCs/>
        </w:rPr>
        <w:t xml:space="preserve">Example 15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5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06"/>
        </w:tc>
      </w:tr>
    </w:tbl>
    <w:bookmarkEnd w:id="107"/>
    <w:bookmarkStart w:id="109" w:name="exm-fubini-fail"/>
    <w:p>
      <w:pPr>
        <w:pStyle w:val="BodyText"/>
      </w:pPr>
      <w:r>
        <w:rPr>
          <w:b/>
          <w:bCs/>
        </w:rPr>
        <w:t xml:space="preserve">Example 16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08"/>
        </w:tc>
      </w:tr>
    </w:tbl>
    <w:bookmarkEnd w:id="109"/>
    <w:bookmarkStart w:id="110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16" w:name="exm-fubini-rect"/>
    <w:p>
      <w:pPr>
        <w:pStyle w:val="BodyText"/>
      </w:pPr>
      <w:r>
        <w:rPr>
          <w:b/>
          <w:bCs/>
        </w:rPr>
        <w:t xml:space="preserve">Example 17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6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14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15"/>
        </w:tc>
      </w:tr>
    </w:tbl>
    <w:bookmarkEnd w:id="116"/>
    <w:bookmarkStart w:id="117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5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17"/>
    <w:p>
      <w:pPr>
        <w:pStyle w:val="BodyText"/>
      </w:pP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9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</w:t>
      </w:r>
      <w:r>
        <w:t xml:space="preserve"> </w:t>
      </w:r>
      <w:r>
        <w:t xml:space="preserve">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: probability measures are finite (hence</w:t>
      </w:r>
      <w:r>
        <w:t xml:space="preserve"> </w:t>
      </w:r>
      <m:oMath>
        <m:r>
          <m:t>σ</m:t>
        </m:r>
      </m:oMath>
      <w:r>
        <w:t xml:space="preserve">-finite), so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  <w:r>
        <w:t xml:space="preserve"> </w:t>
      </w: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bookmarkStart w:id="118" w:name="exm-fubini-tonelli-apply"/>
    <w:p>
      <w:pPr>
        <w:pStyle w:val="BodyText"/>
      </w:pPr>
      <w:r>
        <w:rPr>
          <w:b/>
          <w:bCs/>
        </w:rPr>
        <w:t xml:space="preserve">Example 18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18"/>
    <w:bookmarkStart w:id="119" w:name="exm-fubini-fail-tonelli"/>
    <w:p>
      <w:pPr>
        <w:pStyle w:val="BodyText"/>
      </w:pPr>
      <w:r>
        <w:rPr>
          <w:b/>
          <w:bCs/>
        </w:rPr>
        <w:t xml:space="preserve">Example 19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19"/>
    <w:bookmarkEnd w:id="120"/>
    <w:bookmarkStart w:id="123" w:name="sec-additional-resources"/>
    <w:p>
      <w:pPr>
        <w:pStyle w:val="Heading2"/>
      </w:pPr>
      <w:r>
        <w:t xml:space="preserve">4 Additional resources</w:t>
      </w:r>
    </w:p>
    <w:p>
      <w:pPr>
        <w:pStyle w:val="Compact"/>
        <w:numPr>
          <w:ilvl w:val="0"/>
          <w:numId w:val="1006"/>
        </w:numPr>
      </w:pPr>
      <w:r>
        <w:t xml:space="preserve">Kaplan (2022)</w:t>
      </w:r>
    </w:p>
    <w:p>
      <w:pPr>
        <w:pStyle w:val="Compact"/>
        <w:numPr>
          <w:ilvl w:val="0"/>
          <w:numId w:val="1006"/>
        </w:numPr>
      </w:pPr>
      <w:r>
        <w:t xml:space="preserve">Khuri (2003)</w:t>
      </w:r>
    </w:p>
    <w:p>
      <w:pPr>
        <w:pStyle w:val="Compact"/>
        <w:numPr>
          <w:ilvl w:val="0"/>
          <w:numId w:val="1006"/>
        </w:numPr>
      </w:pPr>
      <w:r>
        <w:t xml:space="preserve">Banner (2007)</w:t>
      </w:r>
    </w:p>
    <w:p>
      <w:pPr>
        <w:pStyle w:val="Compact"/>
        <w:numPr>
          <w:ilvl w:val="0"/>
          <w:numId w:val="1006"/>
        </w:numPr>
      </w:pPr>
      <w:r>
        <w:t xml:space="preserve">Larson and Edwards (2018)</w:t>
      </w:r>
    </w:p>
    <w:p>
      <w:pPr>
        <w:pStyle w:val="Compact"/>
        <w:numPr>
          <w:ilvl w:val="0"/>
          <w:numId w:val="1006"/>
        </w:numPr>
      </w:pPr>
      <w:r>
        <w:t xml:space="preserve">Miller (2016)</w:t>
      </w:r>
    </w:p>
    <w:p>
      <w:pPr>
        <w:pStyle w:val="Compact"/>
        <w:numPr>
          <w:ilvl w:val="1"/>
          <w:numId w:val="1007"/>
        </w:numPr>
      </w:pPr>
      <w:hyperlink r:id="rId12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07"/>
        </w:numPr>
      </w:pPr>
      <w:hyperlink r:id="rId12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6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23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2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25"/>
    <w:bookmarkStart w:id="12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6"/>
    <w:bookmarkStart w:id="12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27"/>
    <w:bookmarkStart w:id="12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2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29"/>
    <w:bookmarkStart w:id="13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1"/>
    <w:bookmarkStart w:id="13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3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33"/>
    <w:bookmarkStart w:id="13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3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35"/>
    <w:bookmarkStart w:id="13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37"/>
    <w:bookmarkStart w:id="13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3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39"/>
    <w:bookmarkStart w:id="14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4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41"/>
    <w:bookmarkStart w:id="14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2"/>
    <w:bookmarkStart w:id="14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72" Target="media/rId72.png" /><Relationship Type="http://schemas.openxmlformats.org/officeDocument/2006/relationships/image" Id="rId76" Target="media/rId76.png" /><Relationship Type="http://schemas.openxmlformats.org/officeDocument/2006/relationships/image" Id="rId57" Target="media/rId57.png" /><Relationship Type="http://schemas.openxmlformats.org/officeDocument/2006/relationships/image" Id="rId102" Target="media/rId102.png" /><Relationship Type="http://schemas.openxmlformats.org/officeDocument/2006/relationships/image" Id="rId111" Target="media/rId111.png" /><Relationship Type="http://schemas.openxmlformats.org/officeDocument/2006/relationships/hyperlink" Id="rId122" Target="http://www.youtube.com/watch?v=Ps2SBo_WjoE" TargetMode="External" /><Relationship Type="http://schemas.openxmlformats.org/officeDocument/2006/relationships/hyperlink" Id="rId121" Target="http://www.youtube.com/watch?v=xYzQL0TUtBA" TargetMode="External" /><Relationship Type="http://schemas.openxmlformats.org/officeDocument/2006/relationships/hyperlink" Id="rId134" Target="https://doi.org/10.1002/0471394882" TargetMode="External" /><Relationship Type="http://schemas.openxmlformats.org/officeDocument/2006/relationships/hyperlink" Id="rId136" Target="https://doi.org/10.1007/978-1-4419-6646-9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43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2" Target="https://morrison-lab.github.io/rme/chapters/probability.html" TargetMode="External" /><Relationship Type="http://schemas.openxmlformats.org/officeDocument/2006/relationships/hyperlink" Id="rId97" Target="https://morrison-lab.github.io/rme/chapters/probability.html#cor-fubini-joint" TargetMode="External" /><Relationship Type="http://schemas.openxmlformats.org/officeDocument/2006/relationships/hyperlink" Id="rId84" Target="https://morrison-lab.github.io/rme/chapters/probability.html#def-cdf" TargetMode="External" /><Relationship Type="http://schemas.openxmlformats.org/officeDocument/2006/relationships/hyperlink" Id="rId101" Target="https://morrison-lab.github.io/rme/chapters/probability.html#def-expectation" TargetMode="External" /><Relationship Type="http://schemas.openxmlformats.org/officeDocument/2006/relationships/hyperlink" Id="rId83" Target="https://morrison-lab.github.io/rme/chapters/probability.html#def-pdf" TargetMode="External" /><Relationship Type="http://schemas.openxmlformats.org/officeDocument/2006/relationships/hyperlink" Id="rId124" Target="https://press.princeton.edu/books/paperback/9780691130880/the-calculus-lifesaver" TargetMode="External" /><Relationship Type="http://schemas.openxmlformats.org/officeDocument/2006/relationships/hyperlink" Id="rId128" Target="https://press.princeton.edu/books/paperback/9780691172934/the-real-analysis-lifesaver" TargetMode="External" /><Relationship Type="http://schemas.openxmlformats.org/officeDocument/2006/relationships/hyperlink" Id="rId14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38" Target="https://www.cengage.com/c/calculus-11e-larson/" TargetMode="External" /><Relationship Type="http://schemas.openxmlformats.org/officeDocument/2006/relationships/hyperlink" Id="rId132" Target="https://www.mosaic-web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2" Target="http://www.youtube.com/watch?v=Ps2SBo_WjoE" TargetMode="External" /><Relationship Type="http://schemas.openxmlformats.org/officeDocument/2006/relationships/hyperlink" Id="rId121" Target="http://www.youtube.com/watch?v=xYzQL0TUtBA" TargetMode="External" /><Relationship Type="http://schemas.openxmlformats.org/officeDocument/2006/relationships/hyperlink" Id="rId134" Target="https://doi.org/10.1002/0471394882" TargetMode="External" /><Relationship Type="http://schemas.openxmlformats.org/officeDocument/2006/relationships/hyperlink" Id="rId136" Target="https://doi.org/10.1007/978-1-4419-6646-9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43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2" Target="https://morrison-lab.github.io/rme/chapters/probability.html" TargetMode="External" /><Relationship Type="http://schemas.openxmlformats.org/officeDocument/2006/relationships/hyperlink" Id="rId97" Target="https://morrison-lab.github.io/rme/chapters/probability.html#cor-fubini-joint" TargetMode="External" /><Relationship Type="http://schemas.openxmlformats.org/officeDocument/2006/relationships/hyperlink" Id="rId84" Target="https://morrison-lab.github.io/rme/chapters/probability.html#def-cdf" TargetMode="External" /><Relationship Type="http://schemas.openxmlformats.org/officeDocument/2006/relationships/hyperlink" Id="rId101" Target="https://morrison-lab.github.io/rme/chapters/probability.html#def-expectation" TargetMode="External" /><Relationship Type="http://schemas.openxmlformats.org/officeDocument/2006/relationships/hyperlink" Id="rId83" Target="https://morrison-lab.github.io/rme/chapters/probability.html#def-pdf" TargetMode="External" /><Relationship Type="http://schemas.openxmlformats.org/officeDocument/2006/relationships/hyperlink" Id="rId124" Target="https://press.princeton.edu/books/paperback/9780691130880/the-calculus-lifesaver" TargetMode="External" /><Relationship Type="http://schemas.openxmlformats.org/officeDocument/2006/relationships/hyperlink" Id="rId128" Target="https://press.princeton.edu/books/paperback/9780691172934/the-real-analysis-lifesaver" TargetMode="External" /><Relationship Type="http://schemas.openxmlformats.org/officeDocument/2006/relationships/hyperlink" Id="rId14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38" Target="https://www.cengage.com/c/calculus-11e-larson/" TargetMode="External" /><Relationship Type="http://schemas.openxmlformats.org/officeDocument/2006/relationships/hyperlink" Id="rId132" Target="https://www.mosaic-web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2026-09-28T12:08:00Z</dcterms:created>
  <dcterms:modified xsi:type="dcterms:W3CDTF">2026-09-28T12:08:00Z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05:02:54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