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2026-10-04 23:54:11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239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8" w:name="sec-subspaces"/>
    <w:p>
      <w:pPr>
        <w:pStyle w:val="Heading3"/>
      </w:pPr>
      <w:r>
        <w:t xml:space="preserve">2.9 Subspaces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Zhou (2024c)</w:t>
      </w:r>
      <w:r>
        <w:t xml:space="preserve">,</w:t>
      </w:r>
      <w:r>
        <w:t xml:space="preserve"> </w:t>
      </w:r>
      <w:r>
        <w:t xml:space="preserve">used under the MIT License.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MIT License for the adapted material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Copyright (c) 2024 ucla-biostat-216</w:t>
            </w:r>
          </w:p>
          <w:p>
            <w:pPr>
              <w:pStyle w:val="Body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ody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BodyText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36" w:name="exm-subspace-equal-dim"/>
    <w:p>
      <w:pPr>
        <w:pStyle w:val="BodyText"/>
      </w:pPr>
      <w:r>
        <w:rPr>
          <w:b/>
          <w:bCs/>
        </w:rPr>
        <w:t xml:space="preserve">Example 26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exm-subspace-equal-dim-fails"/>
    <w:p>
      <w:pPr>
        <w:pStyle w:val="BodyText"/>
      </w:pPr>
      <w:r>
        <w:rPr>
          <w:b/>
          <w:bCs/>
        </w:rPr>
        <w:t xml:space="preserve">Example 27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37"/>
    <w:bookmarkEnd w:id="138"/>
    <w:bookmarkStart w:id="151" w:name="sec-column-null-space"/>
    <w:p>
      <w:pPr>
        <w:pStyle w:val="Heading3"/>
      </w:pPr>
      <w:r>
        <w:t xml:space="preserve">2.10 Column space and null space</w:t>
      </w:r>
    </w:p>
    <w:bookmarkStart w:id="139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9"/>
    <w:bookmarkStart w:id="140" w:name="exm-column-space"/>
    <w:p>
      <w:pPr>
        <w:pStyle w:val="BodyText"/>
      </w:pPr>
      <w:r>
        <w:rPr>
          <w:b/>
          <w:bCs/>
        </w:rPr>
        <w:t xml:space="preserve">Example 28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1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42" w:name="exm-column-space-span"/>
    <w:p>
      <w:pPr>
        <w:pStyle w:val="BodyText"/>
      </w:pPr>
      <w:r>
        <w:rPr>
          <w:b/>
          <w:bCs/>
        </w:rPr>
        <w:t xml:space="preserve">Example 29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2"/>
    <w:bookmarkStart w:id="143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3"/>
    <w:bookmarkStart w:id="144" w:name="exm-null-space"/>
    <w:p>
      <w:pPr>
        <w:pStyle w:val="BodyText"/>
      </w:pPr>
      <w:r>
        <w:rPr>
          <w:b/>
          <w:bCs/>
        </w:rPr>
        <w:t xml:space="preserve">Example 30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6" w:name="exm-null-space-subspace"/>
    <w:p>
      <w:pPr>
        <w:pStyle w:val="BodyText"/>
      </w:pPr>
      <w:r>
        <w:rPr>
          <w:b/>
          <w:bCs/>
        </w:rPr>
        <w:t xml:space="preserve">Example 31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6"/>
    <w:bookmarkStart w:id="147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8" w:name="exm-row-null-disjoint"/>
    <w:p>
      <w:pPr>
        <w:pStyle w:val="BodyText"/>
      </w:pPr>
      <w:r>
        <w:rPr>
          <w:b/>
          <w:bCs/>
        </w:rPr>
        <w:t xml:space="preserve">Example 32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30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8"/>
    <w:bookmarkStart w:id="149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0" w:name="exm-null-gram"/>
    <w:p>
      <w:pPr>
        <w:pStyle w:val="BodyText"/>
      </w:pPr>
      <w:r>
        <w:rPr>
          <w:b/>
          <w:bCs/>
        </w:rPr>
        <w:t xml:space="preserve">Example 33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0"/>
    <w:bookmarkEnd w:id="151"/>
    <w:bookmarkStart w:id="168" w:name="sec-rank-nullity"/>
    <w:p>
      <w:pPr>
        <w:pStyle w:val="Heading3"/>
      </w:pPr>
      <w:r>
        <w:t xml:space="preserve">2.11 Rank-nullity and rank factorization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Zhou (2024b)</w:t>
      </w:r>
      <w:r>
        <w:t xml:space="preserve">,</w:t>
      </w:r>
      <w:r>
        <w:t xml:space="preserve"> </w:t>
      </w:r>
      <w:r>
        <w:t xml:space="preserve">used under the MIT License</w:t>
      </w:r>
      <w:r>
        <w:t xml:space="preserve"> </w:t>
      </w:r>
      <w:r>
        <w:t xml:space="preserve">(see the license text in</w:t>
      </w:r>
      <w:r>
        <w:t xml:space="preserve"> </w:t>
      </w:r>
      <w:hyperlink w:anchor="sec-subspaces">
        <w:r>
          <w:rPr>
            <w:rStyle w:val="Hyperlink"/>
          </w:rPr>
          <w:t xml:space="preserve">Section 2.9</w:t>
        </w:r>
      </w:hyperlink>
      <w:r>
        <w:t xml:space="preserve">).</w:t>
      </w:r>
    </w:p>
    <w:bookmarkStart w:id="152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3" w:name="exm-rank-dim"/>
    <w:p>
      <w:pPr>
        <w:pStyle w:val="BodyText"/>
      </w:pPr>
      <w:r>
        <w:rPr>
          <w:b/>
          <w:bCs/>
        </w:rPr>
        <w:t xml:space="preserve">Example 34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exm-nullity"/>
    <w:p>
      <w:pPr>
        <w:pStyle w:val="FirstParagraph"/>
      </w:pPr>
      <w:r>
        <w:rPr>
          <w:b/>
          <w:bCs/>
        </w:rPr>
        <w:t xml:space="preserve">Example 35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5"/>
    <w:bookmarkStart w:id="156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57" w:name="exm-rank-nullity"/>
    <w:p>
      <w:pPr>
        <w:pStyle w:val="BodyText"/>
      </w:pPr>
      <w:r>
        <w:rPr>
          <w:b/>
          <w:bCs/>
        </w:rPr>
        <w:t xml:space="preserve">Example 36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7"/>
    <w:bookmarkStart w:id="158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59" w:name="exm-rank-product"/>
    <w:p>
      <w:pPr>
        <w:pStyle w:val="FirstParagraph"/>
      </w:pPr>
      <w:r>
        <w:rPr>
          <w:b/>
          <w:bCs/>
        </w:rPr>
        <w:t xml:space="preserve">Example 37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59"/>
    <w:bookmarkStart w:id="160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61" w:name="exm-rank-transpose"/>
    <w:p>
      <w:pPr>
        <w:pStyle w:val="BodyText"/>
      </w:pPr>
      <w:r>
        <w:rPr>
          <w:b/>
          <w:bCs/>
        </w:rPr>
        <w:t xml:space="preserve">Example 38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1"/>
    <w:bookmarkStart w:id="16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63" w:name="exm-rank-bound"/>
    <w:p>
      <w:pPr>
        <w:pStyle w:val="BodyText"/>
      </w:pPr>
      <w:r>
        <w:rPr>
          <w:b/>
          <w:bCs/>
        </w:rPr>
        <w:t xml:space="preserve">Example 39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3"/>
    <w:bookmarkStart w:id="164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4"/>
    <w:bookmarkStart w:id="165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7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67"/>
    <w:bookmarkEnd w:id="168"/>
    <w:bookmarkStart w:id="185" w:name="sec-direct-sums"/>
    <w:p>
      <w:pPr>
        <w:pStyle w:val="Heading3"/>
      </w:pPr>
      <w:r>
        <w:t xml:space="preserve">2.12 Sums and direct sums</w:t>
      </w:r>
    </w:p>
    <w:p>
      <w:pPr>
        <w:pStyle w:val="FirstParagraph"/>
      </w:pPr>
      <w:r>
        <w:t xml:space="preserve">This section,</w:t>
      </w:r>
      <w:r>
        <w:t xml:space="preserve"> </w:t>
      </w:r>
      <w:hyperlink w:anchor="sec-orthogonal-complements">
        <w:r>
          <w:rPr>
            <w:rStyle w:val="Hyperlink"/>
          </w:rPr>
          <w:t xml:space="preserve">Section 2.13</w:t>
        </w:r>
      </w:hyperlink>
      <w:r>
        <w:t xml:space="preserve"> </w:t>
      </w:r>
      <w:r>
        <w:t xml:space="preserve">and</w:t>
      </w:r>
      <w:r>
        <w:t xml:space="preserve"> </w:t>
      </w:r>
      <w:hyperlink w:anchor="sec-fundamental-theorem">
        <w:r>
          <w:rPr>
            <w:rStyle w:val="Hyperlink"/>
          </w:rPr>
          <w:t xml:space="preserve">Section 2.14</w:t>
        </w:r>
      </w:hyperlink>
      <w:r>
        <w:t xml:space="preserve"> </w:t>
      </w:r>
      <w:r>
        <w:t xml:space="preserve">are adapted from</w:t>
      </w:r>
      <w:r>
        <w:t xml:space="preserve"> </w:t>
      </w:r>
      <w:r>
        <w:t xml:space="preserve">Zhou (2024a)</w:t>
      </w:r>
      <w:r>
        <w:t xml:space="preserve">,</w:t>
      </w:r>
      <w:r>
        <w:t xml:space="preserve"> </w:t>
      </w:r>
      <w:r>
        <w:t xml:space="preserve">used under the MIT License</w:t>
      </w:r>
      <w:r>
        <w:t xml:space="preserve"> </w:t>
      </w:r>
      <w:r>
        <w:t xml:space="preserve">(see the license text in</w:t>
      </w:r>
      <w:r>
        <w:t xml:space="preserve"> </w:t>
      </w:r>
      <w:hyperlink w:anchor="sec-subspaces">
        <w:r>
          <w:rPr>
            <w:rStyle w:val="Hyperlink"/>
          </w:rPr>
          <w:t xml:space="preserve">Section 2.9</w:t>
        </w:r>
      </w:hyperlink>
      <w:r>
        <w:t xml:space="preserve">).</w:t>
      </w:r>
      <w:r>
        <w:t xml:space="preserve"> </w:t>
      </w:r>
      <w:r>
        <w:t xml:space="preserve">The source proves that a subspace and its orthogonal complement together make up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 extending an orthonormal basis;</w:t>
      </w:r>
      <w:r>
        <w:t xml:space="preserve"> </w:t>
      </w:r>
      <w:r>
        <w:t xml:space="preserve">the proof here uses the rank-nullity theorem 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 instead.</w:t>
      </w:r>
    </w:p>
    <w:bookmarkStart w:id="169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9"/>
    <w:bookmarkStart w:id="170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1"/>
    <w:bookmarkStart w:id="172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3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3"/>
    <w:bookmarkStart w:id="174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75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End w:id="175"/>
    <w:bookmarkStart w:id="176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177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2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77"/>
    <w:bookmarkStart w:id="178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@thm-dim-bound)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(@cor-dim-subadditive)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79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36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79"/>
    <w:bookmarkStart w:id="180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0"/>
    <w:bookmarkStart w:id="181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1"/>
    <w:bookmarkStart w:id="182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82"/>
    <w:bookmarkStart w:id="183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84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84"/>
    <w:bookmarkEnd w:id="185"/>
    <w:bookmarkStart w:id="199" w:name="sec-orthogonal-complements"/>
    <w:p>
      <w:pPr>
        <w:pStyle w:val="Heading3"/>
      </w:pPr>
      <w:r>
        <w:t xml:space="preserve">2.13 Orthogonal complements</w:t>
      </w:r>
    </w:p>
    <w:bookmarkStart w:id="186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@def-vector-addition)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87" w:name="exm-dot-linear"/>
    <w:p>
      <w:pPr>
        <w:pStyle w:val="BodyText"/>
      </w:pPr>
      <w:r>
        <w:rPr>
          <w:b/>
          <w:bCs/>
        </w:rPr>
        <w:t xml:space="preserve">Example 51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87"/>
    <w:bookmarkStart w:id="188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88"/>
    <w:bookmarkStart w:id="189" w:name="exm-orthogonal-complement"/>
    <w:p>
      <w:pPr>
        <w:pStyle w:val="BodyText"/>
      </w:pPr>
      <w:r>
        <w:rPr>
          <w:b/>
          <w:bCs/>
        </w:rPr>
        <w:t xml:space="preserve">Example 52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9"/>
    <w:bookmarkStart w:id="190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91" w:name="exm-orthogonal-complement-subspace"/>
    <w:p>
      <w:pPr>
        <w:pStyle w:val="BodyText"/>
      </w:pPr>
      <w:r>
        <w:rPr>
          <w:b/>
          <w:bCs/>
        </w:rPr>
        <w:t xml:space="preserve">Example 53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91"/>
    <w:bookmarkStart w:id="192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93" w:name="exm-complement-null-space"/>
    <w:p>
      <w:pPr>
        <w:pStyle w:val="BodyText"/>
      </w:pPr>
      <w:r>
        <w:rPr>
          <w:b/>
          <w:bCs/>
        </w:rPr>
        <w:t xml:space="preserve">Example 54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93"/>
    <w:bookmarkStart w:id="194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(@thm-complement-null-space)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@exm-dimension)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195" w:name="exm-orthogonal-direct-sum"/>
    <w:p>
      <w:pPr>
        <w:pStyle w:val="BodyText"/>
      </w:pPr>
      <w:r>
        <w:rPr>
          <w:b/>
          <w:bCs/>
        </w:rPr>
        <w:t xml:space="preserve">Example 55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5"/>
    <w:bookmarkStart w:id="196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197" w:name="exm-double-complement"/>
    <w:p>
      <w:pPr>
        <w:pStyle w:val="BodyText"/>
      </w:pPr>
      <w:r>
        <w:rPr>
          <w:b/>
          <w:bCs/>
        </w:rPr>
        <w:t xml:space="preserve">Example 56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7"/>
    <w:bookmarkStart w:id="198" w:name="exm-double-complement-fails"/>
    <w:p>
      <w:pPr>
        <w:pStyle w:val="BodyText"/>
      </w:pPr>
      <w:r>
        <w:rPr>
          <w:b/>
          <w:bCs/>
        </w:rPr>
        <w:t xml:space="preserve">Example 57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198"/>
    <w:bookmarkEnd w:id="199"/>
    <w:bookmarkStart w:id="202" w:name="sec-fundamental-theorem"/>
    <w:p>
      <w:pPr>
        <w:pStyle w:val="Heading3"/>
      </w:pPr>
      <w:r>
        <w:t xml:space="preserve">2.14 The fundamental theorem of linear algebra</w:t>
      </w:r>
    </w:p>
    <w:bookmarkStart w:id="200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(@thm-double-complement)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01" w:name="exm-fundamental-subspaces"/>
    <w:p>
      <w:pPr>
        <w:pStyle w:val="BodyText"/>
      </w:pPr>
      <w:r>
        <w:rPr>
          <w:b/>
          <w:bCs/>
        </w:rPr>
        <w:t xml:space="preserve">Example 58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1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01"/>
    <w:bookmarkEnd w:id="202"/>
    <w:bookmarkStart w:id="215" w:name="sec-cauchy-schwarz"/>
    <w:p>
      <w:pPr>
        <w:pStyle w:val="Heading3"/>
      </w:pPr>
      <w:r>
        <w:t xml:space="preserve">2.15 Cauchy-Schwarz and the triangle inequality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Zhou (2024d)</w:t>
      </w:r>
      <w:r>
        <w:t xml:space="preserve">,</w:t>
      </w:r>
      <w:r>
        <w:t xml:space="preserve"> </w:t>
      </w:r>
      <w:r>
        <w:t xml:space="preserve">used under the MIT License</w:t>
      </w:r>
      <w:r>
        <w:t xml:space="preserve"> </w:t>
      </w:r>
      <w:r>
        <w:t xml:space="preserve">(see the license text in</w:t>
      </w:r>
      <w:r>
        <w:t xml:space="preserve"> </w:t>
      </w:r>
      <w:hyperlink w:anchor="sec-subspaces">
        <w:r>
          <w:rPr>
            <w:rStyle w:val="Hyperlink"/>
          </w:rPr>
          <w:t xml:space="preserve">Section 2.9</w:t>
        </w:r>
      </w:hyperlink>
      <w:r>
        <w:t xml:space="preserve">).</w:t>
      </w:r>
      <w:r>
        <w:t xml:space="preserve"> </w:t>
      </w:r>
      <w:r>
        <w:t xml:space="preserve">The source leaves the proof of the triangle inequality to class;</w:t>
      </w:r>
      <w:r>
        <w:t xml:space="preserve"> </w:t>
      </w:r>
      <w:r>
        <w:t xml:space="preserve">it is written out here.</w:t>
      </w:r>
    </w:p>
    <w:bookmarkStart w:id="203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and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@eq-l2-norm)</m:t>
              </m:r>
            </m:e>
          </m:eqArr>
        </m:oMath>
      </m:oMathPara>
    </w:p>
    <w:bookmarkStart w:id="204" w:name="exm-norm-properties"/>
    <w:p>
      <w:pPr>
        <w:pStyle w:val="FirstParagraph"/>
      </w:pPr>
      <w:r>
        <w:rPr>
          <w:b/>
          <w:bCs/>
        </w:rPr>
        <w:t xml:space="preserve">Example 59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4"/>
    <w:bookmarkStart w:id="205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06" w:name="exm-norm-sum-square"/>
    <w:p>
      <w:pPr>
        <w:pStyle w:val="BodyText"/>
      </w:pPr>
      <w:r>
        <w:rPr>
          <w:b/>
          <w:bCs/>
        </w:rPr>
        <w:t xml:space="preserve">Example 60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06"/>
    <w:bookmarkStart w:id="207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08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(@eq-cauchy-schwarz-chain)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3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09" w:name="exm-cauchy-schwarz"/>
    <w:p>
      <w:pPr>
        <w:pStyle w:val="FirstParagraph"/>
      </w:pPr>
      <w:r>
        <w:rPr>
          <w:b/>
          <w:bCs/>
        </w:rPr>
        <w:t xml:space="preserve">Example 61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09"/>
    <w:bookmarkStart w:id="210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(@thm-cauchy-schwarz)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11" w:name="exm-triangle-inequality"/>
    <w:p>
      <w:pPr>
        <w:pStyle w:val="BodyText"/>
      </w:pPr>
      <w:r>
        <w:rPr>
          <w:b/>
          <w:bCs/>
        </w:rPr>
        <w:t xml:space="preserve">Example 62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11"/>
    <w:bookmarkStart w:id="212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12"/>
    <w:bookmarkStart w:id="213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13"/>
    <w:bookmarkStart w:id="214" w:name="exm-angle"/>
    <w:p>
      <w:pPr>
        <w:pStyle w:val="BodyText"/>
      </w:pPr>
      <w:r>
        <w:rPr>
          <w:b/>
          <w:bCs/>
        </w:rPr>
        <w:t xml:space="preserve">Example 63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4"/>
    <w:bookmarkEnd w:id="215"/>
    <w:bookmarkStart w:id="232" w:name="sec-gram-schmidt"/>
    <w:p>
      <w:pPr>
        <w:pStyle w:val="Heading3"/>
      </w:pPr>
      <w:r>
        <w:t xml:space="preserve">2.16 Orthonormal bases and Gram-Schmidt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cauchy-schwarz">
        <w:r>
          <w:rPr>
            <w:rStyle w:val="Hyperlink"/>
          </w:rPr>
          <w:t xml:space="preserve">Section 2.15</w:t>
        </w:r>
      </w:hyperlink>
      <w:r>
        <w:t xml:space="preserve">, this section is adapted from</w:t>
      </w:r>
      <w:r>
        <w:t xml:space="preserve"> </w:t>
      </w:r>
      <w:r>
        <w:t xml:space="preserve">Zhou (2024d)</w:t>
      </w:r>
      <w:r>
        <w:t xml:space="preserve">,</w:t>
      </w:r>
      <w:r>
        <w:t xml:space="preserve"> </w:t>
      </w:r>
      <w:r>
        <w:t xml:space="preserve">used under the MIT License</w:t>
      </w:r>
      <w:r>
        <w:t xml:space="preserve"> </w:t>
      </w:r>
      <w:r>
        <w:t xml:space="preserve">(see the license text in</w:t>
      </w:r>
      <w:r>
        <w:t xml:space="preserve"> </w:t>
      </w:r>
      <w:hyperlink w:anchor="sec-subspaces">
        <w:r>
          <w:rPr>
            <w:rStyle w:val="Hyperlink"/>
          </w:rPr>
          <w:t xml:space="preserve">Section 2.9</w:t>
        </w:r>
      </w:hyperlink>
      <w:r>
        <w:t xml:space="preserve">).</w:t>
      </w:r>
      <w:r>
        <w:t xml:space="preserve"> </w:t>
      </w:r>
      <w:r>
        <w:t xml:space="preserve">The source leaves the proof that orthonormal vectors are linearly independent to class;</w:t>
      </w:r>
      <w:r>
        <w:t xml:space="preserve"> </w:t>
      </w:r>
      <w:r>
        <w:t xml:space="preserve">it is written out here.</w:t>
      </w:r>
    </w:p>
    <w:bookmarkStart w:id="216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@def-linear-combination)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bookmarkStart w:id="217" w:name="exm-dot-linear-sum"/>
    <w:p>
      <w:pPr>
        <w:pStyle w:val="FirstParagraph"/>
      </w:pPr>
      <w:r>
        <w:rPr>
          <w:b/>
          <w:bCs/>
        </w:rPr>
        <w:t xml:space="preserve">Example 64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17"/>
    <w:bookmarkStart w:id="218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19" w:name="exm-orthonormal-independent"/>
    <w:p>
      <w:pPr>
        <w:pStyle w:val="BodyText"/>
      </w:pPr>
      <w:r>
        <w:rPr>
          <w:b/>
          <w:bCs/>
        </w:rPr>
        <w:t xml:space="preserve">Example 65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19"/>
    <w:bookmarkStart w:id="220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20"/>
    <w:bookmarkStart w:id="221" w:name="exm-orthonormal-basis"/>
    <w:p>
      <w:pPr>
        <w:pStyle w:val="BodyText"/>
      </w:pPr>
      <w:r>
        <w:rPr>
          <w:b/>
          <w:bCs/>
        </w:rPr>
        <w:t xml:space="preserve">Example 66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1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21"/>
    <w:bookmarkStart w:id="222" w:name="exm-not-orthonormal-basis"/>
    <w:p>
      <w:pPr>
        <w:pStyle w:val="FirstParagraph"/>
      </w:pPr>
      <w:r>
        <w:rPr>
          <w:b/>
          <w:bCs/>
        </w:rPr>
        <w:t xml:space="preserve">Example 67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2"/>
    <w:bookmarkStart w:id="223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(@def-orthonormal-vectors)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24" w:name="exm-orthonormal-expansion"/>
    <w:p>
      <w:pPr>
        <w:pStyle w:val="BodyText"/>
      </w:pPr>
      <w:r>
        <w:rPr>
          <w:b/>
          <w:bCs/>
        </w:rPr>
        <w:t xml:space="preserve">Example 68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24"/>
    <w:bookmarkStart w:id="225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25"/>
    <w:bookmarkStart w:id="226" w:name="exm-gram-schmidt"/>
    <w:p>
      <w:pPr>
        <w:pStyle w:val="BodyText"/>
      </w:pPr>
      <w:r>
        <w:rPr>
          <w:b/>
          <w:bCs/>
        </w:rPr>
        <w:t xml:space="preserve">Example 69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6"/>
    <w:bookmarkStart w:id="227" w:name="exm-gram-schmidt-stops"/>
    <w:p>
      <w:pPr>
        <w:pStyle w:val="BodyText"/>
      </w:pPr>
      <w:r>
        <w:rPr>
          <w:b/>
          <w:bCs/>
        </w:rPr>
        <w:t xml:space="preserve">Example 70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27"/>
    <w:bookmarkStart w:id="228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(@def-gram-schmidt,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@def-orthonormal-vectors)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29" w:name="exm-thm-gram-schmidt"/>
    <w:p>
      <w:pPr>
        <w:pStyle w:val="BodyText"/>
      </w:pPr>
      <w:r>
        <w:rPr>
          <w:b/>
          <w:bCs/>
        </w:rPr>
        <w:t xml:space="preserve">Example 71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9"/>
    <w:bookmarkStart w:id="230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31" w:name="exm-orthonormal-basis-exists"/>
    <w:p>
      <w:pPr>
        <w:pStyle w:val="BodyText"/>
      </w:pPr>
      <w:r>
        <w:rPr>
          <w:b/>
          <w:bCs/>
        </w:rPr>
        <w:t xml:space="preserve">Example 72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, in a different order.</w:t>
      </w:r>
    </w:p>
    <w:bookmarkEnd w:id="231"/>
    <w:bookmarkEnd w:id="232"/>
    <w:bookmarkStart w:id="238" w:name="outer-product"/>
    <w:p>
      <w:pPr>
        <w:pStyle w:val="Heading3"/>
      </w:pPr>
      <w:r>
        <w:t xml:space="preserve">2.17 Outer product</w:t>
      </w:r>
    </w:p>
    <w:bookmarkStart w:id="233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33"/>
    <w:bookmarkStart w:id="234" w:name="exm-outer-product"/>
    <w:p>
      <w:pPr>
        <w:pStyle w:val="FirstParagraph"/>
      </w:pPr>
      <w:r>
        <w:rPr>
          <w:b/>
          <w:bCs/>
        </w:rPr>
        <w:t xml:space="preserve">Example 73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34"/>
    <w:bookmarkStart w:id="235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35"/>
    <w:bookmarkStart w:id="236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37" w:name="exm-outer-product-rank"/>
    <w:p>
      <w:pPr>
        <w:pStyle w:val="BodyText"/>
      </w:pPr>
      <w:r>
        <w:rPr>
          <w:b/>
          <w:bCs/>
        </w:rPr>
        <w:t xml:space="preserve">Example 74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37"/>
    <w:bookmarkEnd w:id="238"/>
    <w:bookmarkEnd w:id="239"/>
    <w:bookmarkStart w:id="271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40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40"/>
    <w:bookmarkStart w:id="241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41"/>
    <w:bookmarkStart w:id="242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42"/>
    <w:bookmarkStart w:id="244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43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44"/>
    <w:bookmarkStart w:id="245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5"/>
    <w:bookmarkStart w:id="246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46"/>
    <w:bookmarkStart w:id="247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47"/>
    <w:bookmarkStart w:id="248" w:name="def-diagonal-matrix"/>
    <w:p>
      <w:pPr>
        <w:pStyle w:val="FirstParagraph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48"/>
    <w:bookmarkStart w:id="249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49"/>
    <w:bookmarkStart w:id="250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50"/>
    <w:bookmarkStart w:id="251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51"/>
    <w:bookmarkStart w:id="252" w:name="exm-invertible-matrix"/>
    <w:p>
      <w:pPr>
        <w:pStyle w:val="BodyText"/>
      </w:pPr>
      <w:r>
        <w:rPr>
          <w:b/>
          <w:bCs/>
        </w:rPr>
        <w:t xml:space="preserve">Example 75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52"/>
    <w:bookmarkStart w:id="253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53"/>
    <w:bookmarkStart w:id="254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55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56" w:name="exm-inverse-transpose"/>
    <w:p>
      <w:pPr>
        <w:pStyle w:val="BodyText"/>
      </w:pPr>
      <w:r>
        <w:rPr>
          <w:b/>
          <w:bCs/>
        </w:rPr>
        <w:t xml:space="preserve">Example 76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6"/>
    <w:bookmarkStart w:id="257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58" w:name="exm-inverse-symmetric"/>
    <w:p>
      <w:pPr>
        <w:pStyle w:val="BodyText"/>
      </w:pPr>
      <w:r>
        <w:rPr>
          <w:b/>
          <w:bCs/>
        </w:rPr>
        <w:t xml:space="preserve">Example 77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58"/>
    <w:bookmarkStart w:id="259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59"/>
    <w:bookmarkStart w:id="260" w:name="def-projection-matrix"/>
    <w:p>
      <w:pPr>
        <w:pStyle w:val="FirstParagraph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60"/>
    <w:bookmarkStart w:id="261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61"/>
    <w:bookmarkStart w:id="262" w:name="exm-projection-matrix"/>
    <w:p>
      <w:pPr>
        <w:pStyle w:val="BodyText"/>
      </w:pPr>
      <w:r>
        <w:rPr>
          <w:b/>
          <w:bCs/>
        </w:rPr>
        <w:t xml:space="preserve">Example 78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62"/>
    <w:bookmarkStart w:id="263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63"/>
    <w:bookmarkStart w:id="264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65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66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66"/>
    <w:bookmarkStart w:id="267" w:name="exm-orthogonal-matrix"/>
    <w:p>
      <w:pPr>
        <w:pStyle w:val="FirstParagraph"/>
      </w:pPr>
      <w:r>
        <w:rPr>
          <w:b/>
          <w:bCs/>
        </w:rPr>
        <w:t xml:space="preserve">Example 79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7"/>
    <w:bookmarkStart w:id="268" w:name="rem-orthogonal-matrix-column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8"/>
    <w:bookmarkStart w:id="269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70" w:name="exm-orthogonal-norm"/>
    <w:p>
      <w:pPr>
        <w:pStyle w:val="BodyText"/>
      </w:pPr>
      <w:r>
        <w:rPr>
          <w:b/>
          <w:bCs/>
        </w:rPr>
        <w:t xml:space="preserve">Example 80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70"/>
    <w:bookmarkEnd w:id="271"/>
    <w:bookmarkStart w:id="280" w:name="quadratic-forms"/>
    <w:p>
      <w:pPr>
        <w:pStyle w:val="Heading2"/>
      </w:pPr>
      <w:r>
        <w:t xml:space="preserve">4 Quadratic Forms</w:t>
      </w:r>
    </w:p>
    <w:bookmarkStart w:id="272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72"/>
    <w:bookmarkStart w:id="275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4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4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75"/>
    <w:bookmarkStart w:id="276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76"/>
    <w:bookmarkStart w:id="277" w:name="exm-symmetric-part"/>
    <w:p>
      <w:pPr>
        <w:pStyle w:val="FirstParagraph"/>
      </w:pPr>
      <w:r>
        <w:rPr>
          <w:b/>
          <w:bCs/>
        </w:rPr>
        <w:t xml:space="preserve">Example 81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77"/>
    <w:bookmarkStart w:id="278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79" w:name="exm-quadratic-form-symmetric"/>
    <w:p>
      <w:pPr>
        <w:pStyle w:val="BodyText"/>
      </w:pPr>
      <w:r>
        <w:rPr>
          <w:b/>
          <w:bCs/>
        </w:rPr>
        <w:t xml:space="preserve">Example 82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79"/>
    <w:bookmarkEnd w:id="280"/>
    <w:bookmarkStart w:id="293" w:name="trace-and-matrix-inner-product"/>
    <w:p>
      <w:pPr>
        <w:pStyle w:val="Heading2"/>
      </w:pPr>
      <w:r>
        <w:t xml:space="preserve">5 Trace and Matrix Inner Product</w:t>
      </w:r>
    </w:p>
    <w:bookmarkStart w:id="281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81"/>
    <w:bookmarkStart w:id="282" w:name="exm-trace"/>
    <w:p>
      <w:pPr>
        <w:pStyle w:val="FirstParagraph"/>
      </w:pPr>
      <w:r>
        <w:rPr>
          <w:b/>
          <w:bCs/>
        </w:rPr>
        <w:t xml:space="preserve">Example 83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82"/>
    <w:bookmarkStart w:id="283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84" w:name="exm-trace-cyclic"/>
    <w:p>
      <w:pPr>
        <w:pStyle w:val="FirstParagraph"/>
      </w:pPr>
      <w:r>
        <w:rPr>
          <w:b/>
          <w:bCs/>
        </w:rPr>
        <w:t xml:space="preserve">Example 84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84"/>
    <w:bookmarkStart w:id="285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85"/>
    <w:bookmarkStart w:id="286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8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87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88" w:name="exm-matrix-inner-product"/>
    <w:p>
      <w:pPr>
        <w:pStyle w:val="FirstParagraph"/>
      </w:pPr>
      <w:r>
        <w:rPr>
          <w:b/>
          <w:bCs/>
        </w:rPr>
        <w:t xml:space="preserve">Example 85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8"/>
    <w:bookmarkStart w:id="289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89"/>
    <w:bookmarkStart w:id="290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290"/>
    <w:bookmarkStart w:id="291" w:name="exm-frobenius-norm"/>
    <w:p>
      <w:pPr>
        <w:pStyle w:val="BodyText"/>
      </w:pPr>
      <w:r>
        <w:rPr>
          <w:b/>
          <w:bCs/>
        </w:rPr>
        <w:t xml:space="preserve">Example 86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291"/>
    <w:bookmarkStart w:id="292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292"/>
    <w:bookmarkEnd w:id="293"/>
    <w:bookmarkStart w:id="313" w:name="matrix-decompositions"/>
    <w:p>
      <w:pPr>
        <w:pStyle w:val="Heading2"/>
      </w:pPr>
      <w:r>
        <w:t xml:space="preserve">6 Matrix Decompositions</w:t>
      </w:r>
    </w:p>
    <w:bookmarkStart w:id="294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294"/>
    <w:bookmarkStart w:id="295" w:name="exm-eigenvalue"/>
    <w:p>
      <w:pPr>
        <w:pStyle w:val="BodyText"/>
      </w:pPr>
      <w:r>
        <w:rPr>
          <w:b/>
          <w:bCs/>
        </w:rPr>
        <w:t xml:space="preserve">Example 87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5"/>
    <w:bookmarkStart w:id="296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6"/>
    <w:bookmarkStart w:id="297" w:name="exm-not-eigenvector"/>
    <w:p>
      <w:pPr>
        <w:pStyle w:val="FirstParagraph"/>
      </w:pPr>
      <w:r>
        <w:rPr>
          <w:b/>
          <w:bCs/>
        </w:rPr>
        <w:t xml:space="preserve">Example 88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297"/>
    <w:bookmarkStart w:id="298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298"/>
    <w:bookmarkStart w:id="299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9"/>
    <w:bookmarkStart w:id="300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on its diagonal.</w:t>
      </w:r>
    </w:p>
    <w:bookmarkEnd w:id="300"/>
    <w:bookmarkStart w:id="301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01"/>
    <w:bookmarkStart w:id="302" w:name="exm-spectral"/>
    <w:p>
      <w:pPr>
        <w:pStyle w:val="BodyText"/>
      </w:pPr>
      <w:r>
        <w:rPr>
          <w:b/>
          <w:bCs/>
        </w:rPr>
        <w:t xml:space="preserve">Example 89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02"/>
    <w:bookmarkStart w:id="303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3"/>
    <w:bookmarkStart w:id="304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04"/>
    <w:bookmarkStart w:id="305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05"/>
    <w:bookmarkStart w:id="306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06"/>
    <w:bookmarkStart w:id="307" w:name="exm-svd"/>
    <w:p>
      <w:pPr>
        <w:pStyle w:val="BodyText"/>
      </w:pPr>
      <w:r>
        <w:rPr>
          <w:b/>
          <w:bCs/>
        </w:rPr>
        <w:t xml:space="preserve">Example 90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07"/>
    <w:bookmarkStart w:id="308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08"/>
    <w:bookmarkStart w:id="309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09"/>
    <w:bookmarkStart w:id="310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11" w:name="exm-svd-evd"/>
    <w:p>
      <w:pPr>
        <w:pStyle w:val="BodyText"/>
      </w:pPr>
      <w:r>
        <w:rPr>
          <w:b/>
          <w:bCs/>
        </w:rPr>
        <w:t xml:space="preserve">Example 91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1"/>
    <w:bookmarkStart w:id="312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.</w:t>
      </w:r>
    </w:p>
    <w:bookmarkEnd w:id="312"/>
    <w:bookmarkEnd w:id="313"/>
    <w:bookmarkStart w:id="324" w:name="definite-matrices"/>
    <w:p>
      <w:pPr>
        <w:pStyle w:val="Heading2"/>
      </w:pPr>
      <w:r>
        <w:t xml:space="preserve">7 Definite Matrices</w:t>
      </w:r>
    </w:p>
    <w:bookmarkStart w:id="314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14"/>
    <w:bookmarkStart w:id="315" w:name="exm-positive-semidefinite"/>
    <w:p>
      <w:pPr>
        <w:pStyle w:val="FirstParagraph"/>
      </w:pPr>
      <w:r>
        <w:rPr>
          <w:b/>
          <w:bCs/>
        </w:rPr>
        <w:t xml:space="preserve">Example 92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15"/>
    <w:bookmarkStart w:id="316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16"/>
    <w:bookmarkStart w:id="317" w:name="exm-positive-definite"/>
    <w:p>
      <w:pPr>
        <w:pStyle w:val="FirstParagraph"/>
      </w:pPr>
      <w:r>
        <w:rPr>
          <w:b/>
          <w:bCs/>
        </w:rPr>
        <w:t xml:space="preserve">Example 93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17"/>
    <w:bookmarkStart w:id="318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18"/>
    <w:p>
      <w:pPr>
        <w:pStyle w:val="BodyText"/>
      </w:pPr>
      <w:r>
        <w:t xml:space="preserve">See also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20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21" w:name="exm-definite-eigenvalues"/>
    <w:p>
      <w:pPr>
        <w:pStyle w:val="BodyText"/>
      </w:pPr>
      <w:r>
        <w:rPr>
          <w:b/>
          <w:bCs/>
        </w:rPr>
        <w:t xml:space="preserve">Example 94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321"/>
    <w:bookmarkStart w:id="322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23" w:name="exm-pd-inverse"/>
    <w:p>
      <w:pPr>
        <w:pStyle w:val="BodyText"/>
      </w:pPr>
      <w:r>
        <w:rPr>
          <w:b/>
          <w:bCs/>
        </w:rPr>
        <w:t xml:space="preserve">Example 95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23"/>
    <w:bookmarkEnd w:id="324"/>
    <w:bookmarkStart w:id="337" w:name="determinants"/>
    <w:p>
      <w:pPr>
        <w:pStyle w:val="Heading2"/>
      </w:pPr>
      <w:r>
        <w:t xml:space="preserve">8 Determinants</w:t>
      </w:r>
    </w:p>
    <w:bookmarkStart w:id="325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25"/>
    <w:bookmarkStart w:id="326" w:name="exm-determinant"/>
    <w:p>
      <w:pPr>
        <w:pStyle w:val="FirstParagraph"/>
      </w:pPr>
      <w:r>
        <w:rPr>
          <w:b/>
          <w:bCs/>
        </w:rPr>
        <w:t xml:space="preserve">Example 96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26"/>
    <w:bookmarkStart w:id="327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27"/>
    <w:p>
      <w:pPr>
        <w:pStyle w:val="BodyText"/>
      </w:pPr>
      <w:r>
        <w:t xml:space="preserve">See also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29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30" w:name="exm-det-diagonal"/>
    <w:p>
      <w:pPr>
        <w:pStyle w:val="FirstParagraph"/>
      </w:pPr>
      <w:r>
        <w:rPr>
          <w:b/>
          <w:bCs/>
        </w:rPr>
        <w:t xml:space="preserve">Example 97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0"/>
    <w:bookmarkStart w:id="331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1"/>
    <w:bookmarkStart w:id="332" w:name="exm-det-product"/>
    <w:p>
      <w:pPr>
        <w:pStyle w:val="FirstParagraph"/>
      </w:pPr>
      <w:r>
        <w:rPr>
          <w:b/>
          <w:bCs/>
        </w:rPr>
        <w:t xml:space="preserve">Example 98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32"/>
    <w:bookmarkStart w:id="333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33"/>
    <w:p>
      <w:pPr>
        <w:pStyle w:val="BodyText"/>
      </w:pPr>
      <w:r>
        <w:t xml:space="preserve">See also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34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97</w:t>
        </w:r>
      </w:hyperlink>
      <w:r>
        <w:t xml:space="preserve">.</w:t>
      </w:r>
    </w:p>
    <w:bookmarkStart w:id="335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36" w:name="exm-det-eigenvalues"/>
    <w:p>
      <w:pPr>
        <w:pStyle w:val="BodyText"/>
      </w:pPr>
      <w:r>
        <w:rPr>
          <w:b/>
          <w:bCs/>
        </w:rPr>
        <w:t xml:space="preserve">Example 99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36"/>
    <w:bookmarkEnd w:id="337"/>
    <w:bookmarkStart w:id="347" w:name="design-matrix"/>
    <w:p>
      <w:pPr>
        <w:pStyle w:val="Heading2"/>
      </w:pPr>
      <w:r>
        <w:t xml:space="preserve">9 Design Matrix</w:t>
      </w:r>
    </w:p>
    <w:bookmarkStart w:id="338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38"/>
    <w:bookmarkStart w:id="339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39"/>
    <w:bookmarkStart w:id="340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41" w:name="exm-gram-invertible"/>
    <w:p>
      <w:pPr>
        <w:pStyle w:val="BodyText"/>
      </w:pPr>
      <w:r>
        <w:rPr>
          <w:b/>
          <w:bCs/>
        </w:rPr>
        <w:t xml:space="preserve">Example 100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1"/>
    <w:bookmarkStart w:id="342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42"/>
    <w:bookmarkStart w:id="343" w:name="exm-hat-matrix"/>
    <w:p>
      <w:pPr>
        <w:pStyle w:val="BodyText"/>
      </w:pPr>
      <w:r>
        <w:rPr>
          <w:b/>
          <w:bCs/>
        </w:rPr>
        <w:t xml:space="preserve">Example 101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43"/>
    <w:bookmarkStart w:id="344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5" w:name="exm-hat-matrix-projection"/>
    <w:p>
      <w:pPr>
        <w:pStyle w:val="FirstParagraph"/>
      </w:pPr>
      <w:r>
        <w:rPr>
          <w:b/>
          <w:bCs/>
        </w:rPr>
        <w:t xml:space="preserve">Example 102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45"/>
    <w:bookmarkStart w:id="346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6"/>
    <w:bookmarkEnd w:id="347"/>
    <w:bookmarkStart w:id="348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51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51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51"/>
        </w:numPr>
      </w:pPr>
      <w:r>
        <w:t xml:space="preserve">Fieller (2016)</w:t>
      </w:r>
    </w:p>
    <w:p>
      <w:pPr>
        <w:pStyle w:val="Compact"/>
        <w:numPr>
          <w:ilvl w:val="0"/>
          <w:numId w:val="1051"/>
        </w:numPr>
      </w:pPr>
      <w:r>
        <w:t xml:space="preserve">Banerjee and Roy (2014)</w:t>
      </w:r>
    </w:p>
    <w:p>
      <w:pPr>
        <w:pStyle w:val="Compact"/>
        <w:numPr>
          <w:ilvl w:val="0"/>
          <w:numId w:val="1051"/>
        </w:numPr>
      </w:pPr>
      <w:r>
        <w:t xml:space="preserve">Searle and Khuri (2017)</w:t>
      </w:r>
    </w:p>
    <w:bookmarkEnd w:id="348"/>
    <w:bookmarkStart w:id="375" w:name="references"/>
    <w:p>
      <w:pPr>
        <w:pStyle w:val="Heading2"/>
      </w:pPr>
      <w:r>
        <w:t xml:space="preserve">References</w:t>
      </w:r>
    </w:p>
    <w:bookmarkStart w:id="374" w:name="refs"/>
    <w:bookmarkStart w:id="35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0"/>
    <w:bookmarkStart w:id="3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3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352"/>
    <w:bookmarkStart w:id="35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5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54"/>
    <w:bookmarkStart w:id="35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35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356"/>
    <w:bookmarkStart w:id="35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35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358"/>
    <w:bookmarkStart w:id="36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35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360"/>
    <w:bookmarkStart w:id="36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6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62"/>
    <w:bookmarkStart w:id="363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63"/>
    <w:bookmarkStart w:id="365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364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365"/>
    <w:bookmarkStart w:id="367" w:name="ref-zhou2024orthproj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6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367"/>
    <w:bookmarkStart w:id="369" w:name="ref-zhou2024rank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6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369"/>
    <w:bookmarkStart w:id="371" w:name="ref-zhou2024vecsp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70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371"/>
    <w:bookmarkStart w:id="373" w:name="ref-zhou2024vector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72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373"/>
    <w:bookmarkEnd w:id="374"/>
    <w:bookmarkEnd w:id="3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349" Target="https://doi.org/10.1007/978-3-031-41026-0" TargetMode="External" /><Relationship Type="http://schemas.openxmlformats.org/officeDocument/2006/relationships/hyperlink" Id="rId353" Target="https://doi.org/10.1201/9781315182780" TargetMode="External" /><Relationship Type="http://schemas.openxmlformats.org/officeDocument/2006/relationships/hyperlink" Id="rId355" Target="https://doi.org/10.1201/9781315370200" TargetMode="External" /><Relationship Type="http://schemas.openxmlformats.org/officeDocument/2006/relationships/hyperlink" Id="rId319" Target="https://en.wikipedia.org/wiki/Definite_matrix" TargetMode="External" /><Relationship Type="http://schemas.openxmlformats.org/officeDocument/2006/relationships/hyperlink" Id="rId32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35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364" Target="https://math.mit.edu/~gs/linearalgebra/" TargetMode="External" /><Relationship Type="http://schemas.openxmlformats.org/officeDocument/2006/relationships/hyperlink" Id="rId274" Target="https://morrison-lab.github.io/rme/chapters/Linear-models-overview.html#sec-infer-LMs" TargetMode="External" /><Relationship Type="http://schemas.openxmlformats.org/officeDocument/2006/relationships/hyperlink" Id="rId372" Target="https://ucla-biostat-216.github.io/2024fall/slides/02-vector/02-vector.html" TargetMode="External" /><Relationship Type="http://schemas.openxmlformats.org/officeDocument/2006/relationships/hyperlink" Id="rId370" Target="https://ucla-biostat-216.github.io/2024fall/slides/04-vecsp/04-vecsp.html" TargetMode="External" /><Relationship Type="http://schemas.openxmlformats.org/officeDocument/2006/relationships/hyperlink" Id="rId368" Target="https://ucla-biostat-216.github.io/2024fall/slides/05-rank/05-rank.html" TargetMode="External" /><Relationship Type="http://schemas.openxmlformats.org/officeDocument/2006/relationships/hyperlink" Id="rId366" Target="https://ucla-biostat-216.github.io/2024fall/slides/06-orthproj/06-orthproj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357" Target="https://www.deeplearningbook.org/" TargetMode="External" /><Relationship Type="http://schemas.openxmlformats.org/officeDocument/2006/relationships/hyperlink" Id="rId361" Target="https://www.mosaic-web.org" TargetMode="External" /><Relationship Type="http://schemas.openxmlformats.org/officeDocument/2006/relationships/hyperlink" Id="rId351" Target="https://www.routledge.com/Linear-Algebra-and-Matrix-Analysis-for-Statistics/Banerjee-Roy/p/book/9781420095388" TargetMode="External" /><Relationship Type="http://schemas.openxmlformats.org/officeDocument/2006/relationships/hyperlink" Id="rId243" Target="notation.qmd#def-kronecker-delta" TargetMode="External" /><Relationship Type="http://schemas.openxmlformats.org/officeDocument/2006/relationships/hyperlink" Id="rId2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9" Target="https://doi.org/10.1007/978-3-031-41026-0" TargetMode="External" /><Relationship Type="http://schemas.openxmlformats.org/officeDocument/2006/relationships/hyperlink" Id="rId353" Target="https://doi.org/10.1201/9781315182780" TargetMode="External" /><Relationship Type="http://schemas.openxmlformats.org/officeDocument/2006/relationships/hyperlink" Id="rId355" Target="https://doi.org/10.1201/9781315370200" TargetMode="External" /><Relationship Type="http://schemas.openxmlformats.org/officeDocument/2006/relationships/hyperlink" Id="rId319" Target="https://en.wikipedia.org/wiki/Definite_matrix" TargetMode="External" /><Relationship Type="http://schemas.openxmlformats.org/officeDocument/2006/relationships/hyperlink" Id="rId32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35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364" Target="https://math.mit.edu/~gs/linearalgebra/" TargetMode="External" /><Relationship Type="http://schemas.openxmlformats.org/officeDocument/2006/relationships/hyperlink" Id="rId274" Target="https://morrison-lab.github.io/rme/chapters/Linear-models-overview.html#sec-infer-LMs" TargetMode="External" /><Relationship Type="http://schemas.openxmlformats.org/officeDocument/2006/relationships/hyperlink" Id="rId372" Target="https://ucla-biostat-216.github.io/2024fall/slides/02-vector/02-vector.html" TargetMode="External" /><Relationship Type="http://schemas.openxmlformats.org/officeDocument/2006/relationships/hyperlink" Id="rId370" Target="https://ucla-biostat-216.github.io/2024fall/slides/04-vecsp/04-vecsp.html" TargetMode="External" /><Relationship Type="http://schemas.openxmlformats.org/officeDocument/2006/relationships/hyperlink" Id="rId368" Target="https://ucla-biostat-216.github.io/2024fall/slides/05-rank/05-rank.html" TargetMode="External" /><Relationship Type="http://schemas.openxmlformats.org/officeDocument/2006/relationships/hyperlink" Id="rId366" Target="https://ucla-biostat-216.github.io/2024fall/slides/06-orthproj/06-orthproj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357" Target="https://www.deeplearningbook.org/" TargetMode="External" /><Relationship Type="http://schemas.openxmlformats.org/officeDocument/2006/relationships/hyperlink" Id="rId361" Target="https://www.mosaic-web.org" TargetMode="External" /><Relationship Type="http://schemas.openxmlformats.org/officeDocument/2006/relationships/hyperlink" Id="rId351" Target="https://www.routledge.com/Linear-Algebra-and-Matrix-Analysis-for-Statistics/Banerjee-Roy/p/book/9781420095388" TargetMode="External" /><Relationship Type="http://schemas.openxmlformats.org/officeDocument/2006/relationships/hyperlink" Id="rId243" Target="notation.qmd#def-kronecker-delta" TargetMode="External" /><Relationship Type="http://schemas.openxmlformats.org/officeDocument/2006/relationships/hyperlink" Id="rId2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2026-10-05T07:00:54Z</dcterms:created>
  <dcterms:modified xsi:type="dcterms:W3CDTF">2026-10-05T07:00:54Z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23:54:11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