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2026-10-05 22:39:57 (PDT)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logical-connective">
                    <w:r>
                      <w:rPr>
                        <w:rStyle w:val="Hyperlink"/>
                      </w:rPr>
                      <w:t xml:space="preserve">not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quantifier">
                    <w:r>
                      <w:rPr>
                        <w:rStyle w:val="Hyperlink"/>
                      </w:rPr>
                      <w:t xml:space="preserve">for all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quantifier">
                    <w:r>
                      <w:rPr>
                        <w:rStyle w:val="Hyperlink"/>
                      </w:rPr>
                      <w:t xml:space="preserve">there exists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</w:t>
                  </w:r>
                  <w:r>
                    <w:t xml:space="preserve"> </w:t>
                  </w:r>
                  <w:hyperlink r:id="rId9">
                    <w:r>
                      <w:rPr>
                        <w:rStyle w:val="Hyperlink"/>
                      </w:rPr>
                      <w:t xml:space="preserve">conditional 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 of a</w:t>
                  </w:r>
                  <w:r>
                    <w:t xml:space="preserve"> </w:t>
                  </w:r>
                  <w:hyperlink r:id="rId11">
                    <w:r>
                      <w:rPr>
                        <w:rStyle w:val="Hyperlink"/>
                      </w:rPr>
                      <w:t xml:space="preserve">random variable</w:t>
                    </w:r>
                  </w:hyperlink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x^{\top}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</w:t>
                  </w:r>
                  <w:r>
                    <w:t xml:space="preserve"> </w:t>
                  </w:r>
                  <w:hyperlink r:id="rId13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rPr>
                      <w:rStyle w:val="FootnoteReference"/>
                    </w:rPr>
                    <w:footnoteReference w:id="14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5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logical-entailment">
                    <w:r>
                      <w:rPr>
                        <w:rStyle w:val="Hyperlink"/>
                      </w:rPr>
                      <w:t xml:space="preserve">therefore</w:t>
                    </w:r>
                  </w:hyperlink>
                  <w:r>
                    <w:t xml:space="preserve">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6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 </w:t>
                  </w:r>
                  <w:r>
                    <w:t xml:space="preserve">of a generalized linear model</w:t>
                  </w:r>
                  <w:r>
                    <w:rPr>
                      <w:rStyle w:val="FootnoteReference"/>
                    </w:rPr>
                    <w:footnoteReference w:id="17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w:anchor="sec-indicator-functions">
                    <w:r>
                      <w:rPr>
                        <w:rStyle w:val="Hyperlink"/>
                      </w:rPr>
                      <w:t xml:space="preserve">Section 6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19"/>
          <w:p/>
        </w:tc>
      </w:tr>
    </w:tbl>
    <w:p>
      <w:pPr>
        <w:pStyle w:val="BodyText"/>
      </w:pPr>
      <w:r>
        <w:t xml:space="preserve">The links for conditioning, random variables, expectation, and independence</w:t>
      </w:r>
      <w:r>
        <w:t xml:space="preserve"> </w:t>
      </w:r>
      <w:r>
        <w:t xml:space="preserve">go to the Morrison Lab’s probability notes,</w:t>
      </w:r>
      <w:r>
        <w:t xml:space="preserve"> </w:t>
      </w:r>
      <w:r>
        <w:t xml:space="preserve">which define those terms.</w:t>
      </w:r>
    </w:p>
    <w:bookmarkStart w:id="21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21"/>
    <w:bookmarkStart w:id="35" w:name="sec-notation-naturals"/>
    <w:p>
      <w:pPr>
        <w:pStyle w:val="Heading2"/>
      </w:pPr>
      <w:r>
        <w:t xml:space="preserve">2 Natural numbers</w:t>
      </w:r>
    </w:p>
    <w:bookmarkStart w:id="22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22"/>
    <w:bookmarkStart w:id="23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23"/>
    <w:bookmarkStart w:id="24" w:name="def-integers"/>
    <w:p>
      <w:pPr>
        <w:pStyle w:val="BodyText"/>
      </w:pPr>
      <w:r>
        <w:rPr>
          <w:b/>
          <w:bCs/>
        </w:rPr>
        <w:t xml:space="preserve">Definition 1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  <w:r>
        <w:t xml:space="preserve"> </w:t>
      </w:r>
      <w:r>
        <w:t xml:space="preserve">The integers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,</w:t>
      </w:r>
      <w:r>
        <w:t xml:space="preserve"> </w:t>
      </w:r>
      <w:r>
        <w:t xml:space="preserve">and the integers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24"/>
    <w:bookmarkStart w:id="25" w:name="exm-integers"/>
    <w:p>
      <w:pPr>
        <w:pStyle w:val="BodyText"/>
      </w:pPr>
      <w:r>
        <w:rPr>
          <w:b/>
          <w:bCs/>
        </w:rPr>
        <w:t xml:space="preserve">Example 1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5"/>
    <w:bookmarkStart w:id="26" w:name="def-even-odd"/>
    <w:p>
      <w:pPr>
        <w:pStyle w:val="FirstParagraph"/>
      </w:pPr>
      <w:r>
        <w:rPr>
          <w:b/>
          <w:bCs/>
        </w:rPr>
        <w:t xml:space="preserve">Definition 2 (Even and odd integers)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26"/>
    <w:bookmarkStart w:id="27" w:name="exm-even-odd"/>
    <w:p>
      <w:pPr>
        <w:pStyle w:val="BodyText"/>
      </w:pPr>
      <w:r>
        <w:rPr>
          <w:b/>
          <w:bCs/>
        </w:rPr>
        <w:t xml:space="preserve">Example 2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27"/>
    <w:bookmarkStart w:id="28" w:name="def-natural-numbers"/>
    <w:p>
      <w:pPr>
        <w:pStyle w:val="FirstParagraph"/>
      </w:pPr>
      <w:r>
        <w:rPr>
          <w:b/>
          <w:bCs/>
        </w:rPr>
        <w:t xml:space="preserve">Definition 3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are the positive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28"/>
    <w:bookmarkStart w:id="29" w:name="def-nonnegative-integers"/>
    <w:p>
      <w:pPr>
        <w:pStyle w:val="FirstParagraph"/>
      </w:pPr>
      <w:r>
        <w:rPr>
          <w:b/>
          <w:bCs/>
        </w:rPr>
        <w:t xml:space="preserve">Definition 4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3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29"/>
    <w:bookmarkStart w:id="30" w:name="exm-natural-numbers"/>
    <w:p>
      <w:pPr>
        <w:pStyle w:val="FirstParagraph"/>
      </w:pPr>
      <w:r>
        <w:rPr>
          <w:b/>
          <w:bCs/>
        </w:rPr>
        <w:t xml:space="preserve">Example 3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set of values it can take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3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35"/>
    <w:bookmarkStart w:id="46" w:name="sec-notation-reals"/>
    <w:p>
      <w:pPr>
        <w:pStyle w:val="Heading2"/>
      </w:pPr>
      <w:r>
        <w:t xml:space="preserve">3 Rational, real, and irrational numbers</w:t>
      </w:r>
    </w:p>
    <w:bookmarkStart w:id="36" w:name="def-rational-numbers"/>
    <w:p>
      <w:pPr>
        <w:pStyle w:val="FirstParagraph"/>
      </w:pPr>
      <w:r>
        <w:rPr>
          <w:b/>
          <w:bCs/>
        </w:rPr>
        <w:t xml:space="preserve">Definition 5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36"/>
    <w:bookmarkStart w:id="37" w:name="exm-rational-numbers"/>
    <w:p>
      <w:pPr>
        <w:pStyle w:val="FirstParagraph"/>
      </w:pPr>
      <w:r>
        <w:rPr>
          <w:b/>
          <w:bCs/>
        </w:rPr>
        <w:t xml:space="preserve">Example 4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7"/>
    <w:bookmarkStart w:id="38" w:name="def-real-numbers"/>
    <w:p>
      <w:pPr>
        <w:pStyle w:val="FirstParagraph"/>
      </w:pPr>
      <w:r>
        <w:rPr>
          <w:b/>
          <w:bCs/>
        </w:rPr>
        <w:t xml:space="preserve">Definition 6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8"/>
    <w:bookmarkStart w:id="39" w:name="rem-real-numbers-working-definition"/>
    <w:p>
      <w:pPr>
        <w:pStyle w:val="BodyText"/>
      </w:pPr>
      <w:r>
        <w:rPr>
          <w:i/>
          <w:iCs/>
        </w:rPr>
        <w:t xml:space="preserve">Remark 1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(1976, Appendix to Chapter 1)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39"/>
    <w:bookmarkStart w:id="40" w:name="exm-real-numbers"/>
    <w:p>
      <w:pPr>
        <w:pStyle w:val="BodyText"/>
      </w:pPr>
      <w:r>
        <w:rPr>
          <w:b/>
          <w:bCs/>
        </w:rPr>
        <w:t xml:space="preserve">Example 5 (Real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0.333</m:t>
        </m:r>
        <m:r>
          <m:rPr>
            <m:sty m:val="p"/>
          </m:rPr>
          <m:t>…</m:t>
        </m:r>
      </m:oMath>
      <w:r>
        <w:t xml:space="preserve"> </w:t>
      </w:r>
      <w:r>
        <w:t xml:space="preserve">are real numbers.</w:t>
      </w:r>
    </w:p>
    <w:p>
      <w:pPr>
        <w:pStyle w:val="Compact"/>
        <w:numPr>
          <w:ilvl w:val="0"/>
          <w:numId w:val="1007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a real number.</w:t>
      </w:r>
    </w:p>
    <w:p>
      <w:pPr>
        <w:pStyle w:val="Compact"/>
        <w:numPr>
          <w:ilvl w:val="0"/>
          <w:numId w:val="1007"/>
        </w:numPr>
      </w:pPr>
      <w:r>
        <w:t xml:space="preserve">Every rational number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 is a real number,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40"/>
    <w:bookmarkStart w:id="41" w:name="def-irrational-numbers"/>
    <w:p>
      <w:pPr>
        <w:pStyle w:val="FirstParagraph"/>
      </w:pPr>
      <w:r>
        <w:rPr>
          <w:b/>
          <w:bCs/>
        </w:rPr>
        <w:t xml:space="preserve">Definition 7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is a real number (</w:t>
      </w:r>
      <w:hyperlink w:anchor="def-real-numbers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1"/>
    <w:bookmarkStart w:id="45" w:name="exm-irrational-numbers"/>
    <w:p>
      <w:pPr>
        <w:pStyle w:val="BodyText"/>
      </w:pPr>
      <w:r>
        <w:rPr>
          <w:b/>
          <w:bCs/>
        </w:rPr>
        <w:t xml:space="preserve">Example 6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42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(see</w:t>
      </w:r>
      <w:r>
        <w:t xml:space="preserve"> </w:t>
      </w:r>
      <w:hyperlink r:id="rId43">
        <w:r>
          <w:rPr>
            <w:rStyle w:val="Hyperlink"/>
          </w:rPr>
          <w:t xml:space="preserve">Wikipedia: Square root of 2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(see</w:t>
      </w:r>
      <w:r>
        <w:t xml:space="preserve"> </w:t>
      </w:r>
      <w:hyperlink r:id="rId44">
        <w:r>
          <w:rPr>
            <w:rStyle w:val="Hyperlink"/>
          </w:rPr>
          <w:t xml:space="preserve">Wikipedia: Proof that</w:t>
        </w:r>
        <w:r>
          <w:rPr>
            <w:rStyle w:val="Hyperlink"/>
          </w:rPr>
          <w:t xml:space="preserve"> </w:t>
        </w:r>
        <m:oMath>
          <m:r>
            <m:t>π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 irrational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45"/>
    <w:bookmarkEnd w:id="46"/>
    <w:bookmarkStart w:id="50" w:name="percent-sign"/>
    <w:p>
      <w:pPr>
        <w:pStyle w:val="Heading2"/>
      </w:pPr>
      <w:r>
        <w:t xml:space="preserve">4 Percent sign (</w:t>
      </w:r>
      <w:r>
        <w:t xml:space="preserve">“%”</w:t>
      </w:r>
      <w:r>
        <w:t xml:space="preserve">)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47">
        <w:r>
          <w:rPr>
            <w:rStyle w:val="Hyperlink"/>
          </w:rPr>
          <w:t xml:space="preserve">https://en.wikipedia.org/wiki/Percentage</w:t>
        </w:r>
      </w:hyperlink>
      <w:r>
        <w:t xml:space="preserve">).</w:t>
      </w:r>
    </w:p>
    <w:bookmarkStart w:id="48" w:name="def-percent"/>
    <w:p>
      <w:pPr>
        <w:pStyle w:val="BodyText"/>
      </w:pPr>
      <w:r>
        <w:rPr>
          <w:b/>
          <w:bCs/>
        </w:rPr>
        <w:t xml:space="preserve">Definition 8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8"/>
    <w:bookmarkStart w:id="49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9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50"/>
    <w:bookmarkStart w:id="81" w:name="proofs"/>
    <w:p>
      <w:pPr>
        <w:pStyle w:val="Heading2"/>
      </w:pPr>
      <w:r>
        <w:t xml:space="preserve">5 Proofs</w:t>
      </w:r>
    </w:p>
    <w:bookmarkStart w:id="51" w:name="def-proposition"/>
    <w:p>
      <w:pPr>
        <w:pStyle w:val="FirstParagraph"/>
      </w:pPr>
      <w:r>
        <w:rPr>
          <w:b/>
          <w:bCs/>
        </w:rPr>
        <w:t xml:space="preserve">Definition 9 (Proposition)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sentence that is either true or false.</w:t>
      </w:r>
    </w:p>
    <w:bookmarkEnd w:id="51"/>
    <w:bookmarkStart w:id="52" w:name="exm-proposition"/>
    <w:p>
      <w:pPr>
        <w:pStyle w:val="BodyText"/>
      </w:pPr>
      <w:r>
        <w:rPr>
          <w:b/>
          <w:bCs/>
        </w:rPr>
        <w:t xml:space="preserve">Example 8 (Propositions, and a sentence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proposition, and it is true.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w:anchor="def-even-odd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proposition, and it is false.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 proposition on its own: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no truth value until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 value.</w:t>
      </w:r>
    </w:p>
    <w:bookmarkEnd w:id="52"/>
    <w:bookmarkStart w:id="53" w:name="def-predicate"/>
    <w:p>
      <w:pPr>
        <w:pStyle w:val="FirstParagraph"/>
      </w:pPr>
      <w:r>
        <w:rPr>
          <w:b/>
          <w:bCs/>
        </w:rPr>
        <w:t xml:space="preserve">Definition 10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53"/>
    <w:bookmarkStart w:id="54" w:name="exm-predicate"/>
    <w:p>
      <w:pPr>
        <w:pStyle w:val="BodyText"/>
      </w:pPr>
      <w:r>
        <w:rPr>
          <w:b/>
          <w:bCs/>
        </w:rPr>
        <w:t xml:space="preserve">Example 9 (A predicate)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 real numbers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10"/>
        </w:numPr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1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false.</w:t>
      </w:r>
    </w:p>
    <w:bookmarkEnd w:id="54"/>
    <w:bookmarkStart w:id="55" w:name="def-logical-connective"/>
    <w:p>
      <w:pPr>
        <w:pStyle w:val="FirstParagraph"/>
      </w:pPr>
      <w:r>
        <w:rPr>
          <w:b/>
          <w:bCs/>
        </w:rPr>
        <w:t xml:space="preserve">Definition 11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not</w:t>
      </w:r>
      <w:r>
        <w:t xml:space="preserve">: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and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or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implies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if and only if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55"/>
    <w:bookmarkStart w:id="56" w:name="exm-logical-connective"/>
    <w:p>
      <w:pPr>
        <w:pStyle w:val="FirstParagraph"/>
      </w:pPr>
      <w:r>
        <w:rPr>
          <w:b/>
          <w:bCs/>
        </w:rPr>
        <w:t xml:space="preserve">Example 10 (Truth values of connectives)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w:anchor="def-even-odd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not even”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different truth values.</w:t>
      </w:r>
    </w:p>
    <w:bookmarkEnd w:id="56"/>
    <w:bookmarkStart w:id="57" w:name="def-quantifier"/>
    <w:p>
      <w:pPr>
        <w:pStyle w:val="FirstParagraph"/>
      </w:pPr>
      <w:r>
        <w:rPr>
          <w:b/>
          <w:bCs/>
        </w:rPr>
        <w:t xml:space="preserve">Definition 12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“for all”</w:t>
      </w:r>
      <w:r>
        <w:t xml:space="preserve">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otherwise;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“there exists”</w:t>
      </w:r>
      <w:r>
        <w:t xml:space="preserve">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57"/>
    <w:bookmarkStart w:id="58" w:name="exm-quantifier"/>
    <w:p>
      <w:pPr>
        <w:pStyle w:val="FirstParagraph"/>
      </w:pPr>
      <w:r>
        <w:rPr>
          <w:b/>
          <w:bCs/>
        </w:rPr>
        <w:t xml:space="preserve">Example 11 (Quantified propositions)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</w:t>
      </w:r>
      <w:r>
        <w:t xml:space="preserve"> </w:t>
      </w:r>
      <w:hyperlink w:anchor="def-integers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, and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are all true.</w:t>
      </w:r>
    </w:p>
    <w:bookmarkEnd w:id="58"/>
    <w:bookmarkStart w:id="59" w:name="def-inequality"/>
    <w:p>
      <w:pPr>
        <w:pStyle w:val="FirstParagraph"/>
      </w:pPr>
      <w:r>
        <w:rPr>
          <w:b/>
          <w:bCs/>
        </w:rPr>
        <w:t xml:space="preserve">Definition 13 (Inequality)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inequality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or a predicate 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that compares two expressions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values are</w:t>
      </w:r>
      <w:r>
        <w:t xml:space="preserve"> </w:t>
      </w:r>
      <w:hyperlink w:anchor="def-real-numbers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in one of the forms: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59"/>
    <w:bookmarkStart w:id="60" w:name="exm-inequality"/>
    <w:p>
      <w:pPr>
        <w:pStyle w:val="FirstParagraph"/>
      </w:pPr>
      <w:r>
        <w:rPr>
          <w:b/>
          <w:bCs/>
        </w:rPr>
        <w:t xml:space="preserve">Example 12 (Inequalities)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an inequality, and it is true.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5</m:t>
        </m:r>
        <m:r>
          <m:rPr>
            <m:sty m:val="p"/>
          </m:rPr>
          <m:t>≤</m:t>
        </m:r>
        <m:r>
          <m:t>3</m:t>
        </m:r>
      </m:oMath>
      <w:r>
        <w:t xml:space="preserve">”</w:t>
      </w:r>
      <w:r>
        <w:t xml:space="preserve"> </w:t>
      </w:r>
      <w:r>
        <w:t xml:space="preserve">is an inequality, and it is false.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”</w:t>
      </w:r>
      <w:r>
        <w:t xml:space="preserve"> </w:t>
      </w:r>
      <w:r>
        <w:t xml:space="preserve">is an inequality and a predicate: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an inequality: it is an equality.</w:t>
      </w:r>
    </w:p>
    <w:bookmarkEnd w:id="60"/>
    <w:bookmarkStart w:id="61" w:name="def-logical-entailment"/>
    <w:p>
      <w:pPr>
        <w:pStyle w:val="FirstParagraph"/>
      </w:pPr>
      <w:r>
        <w:rPr>
          <w:b/>
          <w:bCs/>
        </w:rPr>
        <w:t xml:space="preserve">Definition 14 (Logical entailment)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61"/>
    <w:bookmarkStart w:id="62" w:name="exm-logical-entailment"/>
    <w:p>
      <w:pPr>
        <w:pStyle w:val="BodyText"/>
      </w:pPr>
      <w:r>
        <w:rPr>
          <w:b/>
          <w:bCs/>
        </w:rPr>
        <w:t xml:space="preserve">Example 13 (Entailment, and its failure)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</w:t>
      </w:r>
      <w:r>
        <w:t xml:space="preserve"> </w:t>
      </w:r>
      <w:hyperlink w:anchor="def-integers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entails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only value that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true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together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only integer greater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 less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does not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true,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but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false.</w:t>
      </w:r>
    </w:p>
    <w:bookmarkEnd w:id="62"/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 (</w:t>
      </w:r>
      <w:hyperlink w:anchor="def-logical-entailment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also writes the connective</w:t>
      </w:r>
      <w:r>
        <w:t xml:space="preserve"> </w:t>
      </w:r>
      <w:r>
        <w:t xml:space="preserve">“implies”</w:t>
      </w:r>
      <w:r>
        <w:t xml:space="preserve"> </w:t>
      </w:r>
      <w:r>
        <w:t xml:space="preserve">(</w:t>
      </w:r>
      <w:hyperlink w:anchor="def-logical-connective">
        <w:r>
          <w:rPr>
            <w:rStyle w:val="Hyperlink"/>
          </w:rPr>
          <w:t xml:space="preserve">Definition 11</w:t>
        </w:r>
      </w:hyperlink>
      <w:r>
        <w:t xml:space="preserve">);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entails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for every choice of values for the variables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</w:t>
      </w:r>
      <w:r>
        <w:t xml:space="preserve"> </w:t>
      </w:r>
      <w:hyperlink r:id="rId63">
        <w:r>
          <w:rPr>
            <w:rStyle w:val="Hyperlink"/>
          </w:rPr>
          <w:t xml:space="preserve">convergence</w:t>
        </w:r>
      </w:hyperlink>
      <w:r>
        <w:t xml:space="preserve"> </w:t>
      </w:r>
      <w:r>
        <w:t xml:space="preserve">results.</w:t>
      </w:r>
    </w:p>
    <w:bookmarkStart w:id="64" w:name="def-proof"/>
    <w:p>
      <w:pPr>
        <w:pStyle w:val="BodyText"/>
      </w:pPr>
      <w:r>
        <w:rPr>
          <w:b/>
          <w:bCs/>
        </w:rPr>
        <w:t xml:space="preserve">Definition 15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of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9"/>
        </w:numPr>
      </w:pPr>
      <w:r>
        <w:t xml:space="preserve">an assumption,</w:t>
      </w:r>
    </w:p>
    <w:p>
      <w:pPr>
        <w:pStyle w:val="Compact"/>
        <w:numPr>
          <w:ilvl w:val="0"/>
          <w:numId w:val="1019"/>
        </w:numPr>
      </w:pPr>
      <w:r>
        <w:t xml:space="preserve">a definition,</w:t>
      </w:r>
    </w:p>
    <w:p>
      <w:pPr>
        <w:pStyle w:val="Compact"/>
        <w:numPr>
          <w:ilvl w:val="0"/>
          <w:numId w:val="1019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9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64"/>
    <w:bookmarkStart w:id="66" w:name="exm-proof"/>
    <w:p>
      <w:pPr>
        <w:pStyle w:val="FirstParagraph"/>
      </w:pPr>
      <w:r>
        <w:rPr>
          <w:b/>
          <w:bCs/>
        </w:rPr>
        <w:t xml:space="preserve">Example 14 (The sum of two even integers is even)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even integers (</w:t>
      </w:r>
      <w:hyperlink w:anchor="def-even-odd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The second line uses the</w:t>
      </w:r>
      <w:r>
        <w:t xml:space="preserve"> </w:t>
      </w:r>
      <w:hyperlink r:id="rId65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(</w:t>
      </w:r>
      <w:hyperlink w:anchor="def-even-odd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4</m:t>
        </m:r>
        <m:r>
          <m:rPr>
            <m:sty m:val="p"/>
          </m:rPr>
          <m:t>+</m:t>
        </m:r>
        <m:r>
          <m:t>10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7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</w:p>
    <w:bookmarkEnd w:id="66"/>
    <w:bookmarkStart w:id="67" w:name="def-derivation"/>
    <w:p>
      <w:pPr>
        <w:pStyle w:val="BodyText"/>
      </w:pPr>
      <w:r>
        <w:rPr>
          <w:b/>
          <w:bCs/>
        </w:rPr>
        <w:t xml:space="preserve">Definition 16 (Derivation)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derivation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15</w:t>
        </w:r>
      </w:hyperlink>
      <w:r>
        <w:t xml:space="preserve">), or a part of one,</w:t>
      </w:r>
      <w:r>
        <w:t xml:space="preserve"> </w:t>
      </w:r>
      <w:r>
        <w:t xml:space="preserve">written as a chain of expressions, one per line,</w:t>
      </w:r>
      <w:r>
        <w:t xml:space="preserve"> </w:t>
      </w:r>
      <w:r>
        <w:t xml:space="preserve">in which each line is joined to the line before it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 by an inequality sign (</w:t>
      </w:r>
      <w:hyperlink w:anchor="def-inequality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and carries an annotation that names the reason that step holds:</w:t>
      </w:r>
      <w:r>
        <w:t xml:space="preserve"> </w:t>
      </w:r>
      <w:r>
        <w:t xml:space="preserve">an assumption, a definition, a previously proved result, or a rule of algebra.</w:t>
      </w:r>
      <w:r>
        <w:t xml:space="preserve"> </w:t>
      </w:r>
      <w:r>
        <w:t xml:space="preserve">The chain shows how its first expression compares with its last:</w:t>
      </w:r>
    </w:p>
    <w:p>
      <w:pPr>
        <w:pStyle w:val="Compact"/>
        <w:numPr>
          <w:ilvl w:val="0"/>
          <w:numId w:val="1020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 first expression equals the last;</w:t>
      </w:r>
    </w:p>
    <w:p>
      <w:pPr>
        <w:pStyle w:val="Compact"/>
        <w:numPr>
          <w:ilvl w:val="0"/>
          <w:numId w:val="1020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the first is less than or equal to the last;</w:t>
      </w:r>
    </w:p>
    <w:p>
      <w:pPr>
        <w:pStyle w:val="Compact"/>
        <w:numPr>
          <w:ilvl w:val="0"/>
          <w:numId w:val="1020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at least one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the first is less than the last.</w:t>
      </w:r>
    </w:p>
    <w:p>
      <w:pPr>
        <w:pStyle w:val="FirstParagraph"/>
      </w:pPr>
      <w:r>
        <w:t xml:space="preserve">The same holds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End w:id="67"/>
    <w:bookmarkStart w:id="69" w:name="exm-derivation"/>
    <w:p>
      <w:pPr>
        <w:pStyle w:val="BodyText"/>
      </w:pPr>
      <w:r>
        <w:rPr>
          <w:b/>
          <w:bCs/>
        </w:rPr>
        <w:t xml:space="preserve">Example 15 (A derivation with equalities and inequalities)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uses the</w:t>
      </w:r>
      <w:r>
        <w:t xml:space="preserve"> </w:t>
      </w:r>
      <w:hyperlink r:id="rId68">
        <w:r>
          <w:rPr>
            <w:rStyle w:val="Hyperlink"/>
          </w:rPr>
          <w:t xml:space="preserve">square of a sum</w:t>
        </w:r>
      </w:hyperlink>
      <w:r>
        <w:t xml:space="preserve">.</w:t>
      </w:r>
      <w:r>
        <w:t xml:space="preserve"> </w:t>
      </w:r>
      <w:r>
        <w:t xml:space="preserve">The steps 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the derivation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 and</w:t>
      </w:r>
      <w:r>
        <w:t xml:space="preserve"> </w:t>
      </w:r>
      <m:oMath>
        <m:r>
          <m:t>16</m:t>
        </m:r>
        <m:r>
          <m:rPr>
            <m:sty m:val="p"/>
          </m:rPr>
          <m:t>&gt;</m:t>
        </m:r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bookmarkEnd w:id="69"/>
    <w:bookmarkStart w:id="70" w:name="def-theorem"/>
    <w:p>
      <w:pPr>
        <w:pStyle w:val="BodyText"/>
      </w:pPr>
      <w:r>
        <w:rPr>
          <w:b/>
          <w:bCs/>
        </w:rPr>
        <w:t xml:space="preserve">Definition 17 (Result, theorem, lemma, and corollary)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that has a proof (</w:t>
      </w:r>
      <w:hyperlink w:anchor="def-proof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These notes label each result by its role:</w:t>
      </w:r>
    </w:p>
    <w:p>
      <w:pPr>
        <w:pStyle w:val="Compact"/>
        <w:numPr>
          <w:ilvl w:val="0"/>
          <w:numId w:val="102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is a result of interest in its own right;</w:t>
      </w:r>
    </w:p>
    <w:p>
      <w:pPr>
        <w:pStyle w:val="Compact"/>
        <w:numPr>
          <w:ilvl w:val="0"/>
          <w:numId w:val="102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lemma</w:t>
      </w:r>
      <w:r>
        <w:t xml:space="preserve"> </w:t>
      </w:r>
      <w:r>
        <w:t xml:space="preserve">is a result proved mainly as a step in the proof of another result;</w:t>
      </w:r>
    </w:p>
    <w:p>
      <w:pPr>
        <w:pStyle w:val="Compact"/>
        <w:numPr>
          <w:ilvl w:val="0"/>
          <w:numId w:val="102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corollary</w:t>
      </w:r>
      <w:r>
        <w:t xml:space="preserve"> </w:t>
      </w:r>
      <w:r>
        <w:t xml:space="preserve">is a result that follows from a theorem</w:t>
      </w:r>
      <w:r>
        <w:t xml:space="preserve"> </w:t>
      </w:r>
      <w:r>
        <w:t xml:space="preserve">with little extra work.</w:t>
      </w:r>
    </w:p>
    <w:bookmarkEnd w:id="70"/>
    <w:bookmarkStart w:id="71" w:name="rem-proposition-as-result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w:r>
        <w:t xml:space="preserve">“Proposition”</w:t>
      </w:r>
      <w:r>
        <w:t xml:space="preserve"> </w:t>
      </w:r>
      <w:r>
        <w:t xml:space="preserve">as a kind of result). </w:t>
      </w:r>
      <w:r>
        <w:t xml:space="preserve">Some sources also call a result of moderate importance a</w:t>
      </w:r>
      <w:r>
        <w:t xml:space="preserve"> </w:t>
      </w:r>
      <w:r>
        <w:t xml:space="preserve">“proposition”</w:t>
      </w:r>
      <w:r>
        <w:t xml:space="preserve">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“proposition”</w:t>
      </w:r>
      <w:r>
        <w:t xml:space="preserve"> </w:t>
      </w:r>
      <w:r>
        <w:t xml:space="preserve">always means a sentence that is true or false</w:t>
      </w:r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), whether or not it has been proved.</w:t>
      </w:r>
    </w:p>
    <w:bookmarkEnd w:id="71"/>
    <w:bookmarkStart w:id="72" w:name="exm-theorem"/>
    <w:p>
      <w:pPr>
        <w:pStyle w:val="BodyText"/>
      </w:pPr>
      <w:r>
        <w:rPr>
          <w:b/>
          <w:bCs/>
        </w:rPr>
        <w:t xml:space="preserve">Example 16 (A corollary of a result)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proves the result</w:t>
      </w:r>
      <w:r>
        <w:t xml:space="preserve"> </w:t>
      </w:r>
      <w:r>
        <w:t xml:space="preserve">“the sum of two even integers is even”</w:t>
      </w:r>
      <w:r>
        <w:t xml:space="preserve">.</w:t>
      </w:r>
      <w:r>
        <w:t xml:space="preserve"> </w:t>
      </w:r>
      <w:r>
        <w:t xml:space="preserve">A corollary follows with little extra work:</w:t>
      </w:r>
      <w:r>
        <w:t xml:space="preserve"> </w:t>
      </w:r>
      <w:r>
        <w:t xml:space="preserve">the sum of three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by that result,</w:t>
      </w:r>
      <w:r>
        <w:t xml:space="preserve"> </w:t>
      </w:r>
      <w:r>
        <w:t xml:space="preserve">and applying the result again to the even integers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12</m:t>
        </m:r>
      </m:oMath>
      <w:r>
        <w:t xml:space="preserve">, which is even.</w:t>
      </w:r>
    </w:p>
    <w:bookmarkEnd w:id="72"/>
    <w:bookmarkStart w:id="73" w:name="def-counterexample"/>
    <w:p>
      <w:pPr>
        <w:pStyle w:val="BodyText"/>
      </w:pPr>
      <w:r>
        <w:rPr>
          <w:b/>
          <w:bCs/>
        </w:rPr>
        <w:t xml:space="preserve">Definition 18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73"/>
    <w:bookmarkStart w:id="74" w:name="exm-counterexample"/>
    <w:p>
      <w:pPr>
        <w:pStyle w:val="BodyText"/>
      </w:pPr>
      <w:r>
        <w:rPr>
          <w:b/>
          <w:bCs/>
        </w:rPr>
        <w:t xml:space="preserve">Example 17 (A counterexample)</w:t>
      </w:r>
      <w:r>
        <w:t xml:space="preserve"> </w:t>
      </w:r>
      <w:r>
        <w:t xml:space="preserve">The proposition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counterexample: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proposition is true for some integers, such 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r>
        <w:t xml:space="preserve">,</w:t>
      </w:r>
      <w:r>
        <w:t xml:space="preserve"> </w:t>
      </w:r>
      <w:r>
        <w:t xml:space="preserve">but one counterexample is enough to make it false.</w:t>
      </w:r>
    </w:p>
    <w:bookmarkEnd w:id="74"/>
    <w:bookmarkStart w:id="75" w:name="def-converse"/>
    <w:p>
      <w:pPr>
        <w:pStyle w:val="BodyText"/>
      </w:pPr>
      <w:r>
        <w:rPr>
          <w:b/>
          <w:bCs/>
        </w:rPr>
        <w:t xml:space="preserve">Definition 19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75"/>
    <w:bookmarkStart w:id="76" w:name="exm-converse"/>
    <w:p>
      <w:pPr>
        <w:pStyle w:val="BodyText"/>
      </w:pPr>
      <w:r>
        <w:rPr>
          <w:b/>
          <w:bCs/>
        </w:rPr>
        <w:t xml:space="preserve">Example 18 (A true proposition with a false converse)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 call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t>k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is an integer.</w:t>
      </w:r>
    </w:p>
    <w:p>
      <w:pPr>
        <w:pStyle w:val="Compact"/>
        <w:numPr>
          <w:ilvl w:val="0"/>
          <w:numId w:val="1022"/>
        </w:numPr>
      </w:pPr>
      <w:r>
        <w:t xml:space="preserve">Its converse,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counterexample (</w:t>
      </w:r>
      <w:hyperlink w:anchor="def-counterexample">
        <w:r>
          <w:rPr>
            <w:rStyle w:val="Hyperlink"/>
          </w:rPr>
          <w:t xml:space="preserve">Definition 18</w:t>
        </w:r>
      </w:hyperlink>
      <w:r>
        <w:t xml:space="preserve">):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even, but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which is not an integer.</w:t>
      </w:r>
    </w:p>
    <w:p>
      <w:pPr>
        <w:pStyle w:val="FirstParagraph"/>
      </w:pPr>
      <w:r>
        <w:t xml:space="preserve">So a proposition can be true while its converse is false.</w:t>
      </w:r>
    </w:p>
    <w:bookmarkEnd w:id="76"/>
    <w:bookmarkStart w:id="77" w:name="def-necessary-sufficient"/>
    <w:p>
      <w:pPr>
        <w:pStyle w:val="BodyText"/>
      </w:pPr>
      <w:r>
        <w:rPr>
          <w:b/>
          <w:bCs/>
        </w:rPr>
        <w:t xml:space="preserve">Definition 20 (Necessary and sufficient conditions)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condition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When both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 its converse (</w:t>
      </w:r>
      <w:hyperlink w:anchor="def-converse">
        <w:r>
          <w:rPr>
            <w:rStyle w:val="Hyperlink"/>
          </w:rPr>
          <w:t xml:space="preserve">Definition 19</w:t>
        </w:r>
      </w:hyperlink>
      <w:r>
        <w:t xml:space="preserve">) are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and 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77"/>
    <w:bookmarkStart w:id="78" w:name="exm-necessary-sufficient"/>
    <w:p>
      <w:pPr>
        <w:pStyle w:val="BodyText"/>
      </w:pPr>
      <w:r>
        <w:rPr>
          <w:b/>
          <w:bCs/>
        </w:rPr>
        <w:t xml:space="preserve">Example 19 (Necessary but not sufficient)</w:t>
      </w:r>
      <w:r>
        <w:t xml:space="preserve"> </w:t>
      </w:r>
      <w:r>
        <w:t xml:space="preserve">In</w:t>
      </w:r>
      <w:r>
        <w:t xml:space="preserve"> </w:t>
      </w:r>
      <w:hyperlink w:anchor="exm-converse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true, so:</w:t>
      </w:r>
    </w:p>
    <w:p>
      <w:pPr>
        <w:pStyle w:val="Compact"/>
        <w:numPr>
          <w:ilvl w:val="0"/>
          <w:numId w:val="1023"/>
        </w:numPr>
      </w:pPr>
      <w:r>
        <w:t xml:space="preserve">being 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even;</w:t>
      </w:r>
    </w:p>
    <w:p>
      <w:pPr>
        <w:pStyle w:val="Compact"/>
        <w:numPr>
          <w:ilvl w:val="0"/>
          <w:numId w:val="1023"/>
        </w:numPr>
      </w:pPr>
      <w:r>
        <w:t xml:space="preserve">being even is a necessary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 multiple of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t xml:space="preserve">Being even is not a sufficient condition for being a multiple of</w:t>
      </w:r>
      <w:r>
        <w:t xml:space="preserve"> </w:t>
      </w:r>
      <m:oMath>
        <m:r>
          <m:t>4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even, but not a multiple of</w:t>
      </w:r>
      <w:r>
        <w:t xml:space="preserve"> </w:t>
      </w:r>
      <m:oMath>
        <m:r>
          <m:t>4</m:t>
        </m:r>
      </m:oMath>
      <w:r>
        <w:t xml:space="preserve">.</w:t>
      </w:r>
    </w:p>
    <w:bookmarkEnd w:id="78"/>
    <w:bookmarkStart w:id="79" w:name="def-proof-by-contradiction"/>
    <w:p>
      <w:pPr>
        <w:pStyle w:val="BodyText"/>
      </w:pPr>
      <w:r>
        <w:rPr>
          <w:b/>
          <w:bCs/>
        </w:rPr>
        <w:t xml:space="preserve">Definition 21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  <w:r>
        <w:t xml:space="preserve"> </w:t>
      </w:r>
      <w:r>
        <w:t xml:space="preserve">Since a true assumption cannot lead to a false proposition,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 must itself be false,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79"/>
    <w:bookmarkStart w:id="80" w:name="exm-proof-by-contradiction"/>
    <w:p>
      <w:pPr>
        <w:pStyle w:val="BodyText"/>
      </w:pPr>
      <w:r>
        <w:rPr>
          <w:b/>
          <w:bCs/>
        </w:rPr>
        <w:t xml:space="preserve">Example 20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w:anchor="def-even-odd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65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80"/>
    <w:bookmarkEnd w:id="81"/>
    <w:bookmarkStart w:id="118" w:name="sec-indicator-functions"/>
    <w:p>
      <w:pPr>
        <w:pStyle w:val="Heading2"/>
      </w:pPr>
      <w:r>
        <w:t xml:space="preserve">6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ubiquitous.</w:t>
      </w:r>
      <w:r>
        <w:t xml:space="preserve"> </w:t>
      </w:r>
      <w:r>
        <w:t xml:space="preserve">They represent:</w:t>
      </w:r>
    </w:p>
    <w:p>
      <w:pPr>
        <w:pStyle w:val="Compact"/>
        <w:numPr>
          <w:ilvl w:val="0"/>
          <w:numId w:val="1024"/>
        </w:numPr>
      </w:pPr>
      <w:r>
        <w:t xml:space="preserve">binary variables, which take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binary-variable">
        <w:r>
          <w:rPr>
            <w:rStyle w:val="Hyperlink"/>
          </w:rPr>
          <w:t xml:space="preserve">Definition 23</w:t>
        </w:r>
      </w:hyperlink>
      <w:r>
        <w:t xml:space="preserve">);</w:t>
      </w:r>
    </w:p>
    <w:p>
      <w:pPr>
        <w:pStyle w:val="Compact"/>
        <w:numPr>
          <w:ilvl w:val="0"/>
          <w:numId w:val="1024"/>
        </w:numPr>
      </w:pPr>
      <w:r>
        <w:t xml:space="preserve">event and censoring indicators in survival analysis,</w:t>
      </w:r>
      <w:r>
        <w:t xml:space="preserve"> </w:t>
      </w:r>
      <w:r>
        <w:t xml:space="preserve">the study of the time until an event such as death,</w:t>
      </w:r>
      <w:r>
        <w:t xml:space="preserve"> </w:t>
      </w:r>
      <w:r>
        <w:t xml:space="preserve">where an observation is censored</w:t>
      </w:r>
      <w:r>
        <w:t xml:space="preserve"> </w:t>
      </w:r>
      <w:r>
        <w:t xml:space="preserve">when follow-up ends before its event is seen;</w:t>
      </w:r>
    </w:p>
    <w:p>
      <w:pPr>
        <w:pStyle w:val="Compact"/>
        <w:numPr>
          <w:ilvl w:val="0"/>
          <w:numId w:val="1024"/>
        </w:numPr>
      </w:pPr>
      <w:r>
        <w:t xml:space="preserve">membership in subpopulations;</w:t>
      </w:r>
    </w:p>
    <w:p>
      <w:pPr>
        <w:pStyle w:val="Compact"/>
        <w:numPr>
          <w:ilvl w:val="0"/>
          <w:numId w:val="1024"/>
        </w:numPr>
      </w:pPr>
      <w:r>
        <w:t xml:space="preserve">domain restrictions in integrals and sums.</w:t>
      </w:r>
    </w:p>
    <w:p>
      <w:pPr>
        <w:pStyle w:val="FirstParagraph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82" w:name="def-indicator-function"/>
    <w:p>
      <w:pPr>
        <w:pStyle w:val="BodyText"/>
      </w:pPr>
      <w:r>
        <w:rPr>
          <w:b/>
          <w:bCs/>
        </w:rPr>
        <w:t xml:space="preserve">Definition 22 (Indicator function)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 indicator</w:t>
      </w:r>
      <w:r>
        <w:t xml:space="preserve">,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More generally,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indicator</w:t>
      </w:r>
      <w:r>
        <w:t xml:space="preserve">,</w:t>
      </w:r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82"/>
    <w:bookmarkStart w:id="83" w:name="exm-indicator-numerical"/>
    <w:p>
      <w:pPr>
        <w:pStyle w:val="FirstParagraph"/>
      </w:pPr>
      <w:r>
        <w:rPr>
          <w:b/>
          <w:bCs/>
        </w:rPr>
        <w:t xml:space="preserve">Example 21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1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(defined in the Morrison Lab’s probability notes).</w:t>
      </w:r>
    </w:p>
    <w:p>
      <w:pPr>
        <w:pStyle w:val="Compact"/>
        <w:numPr>
          <w:ilvl w:val="0"/>
          <w:numId w:val="1025"/>
        </w:numPr>
      </w:pPr>
      <w: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26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26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27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27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3"/>
    <w:bookmarkStart w:id="84" w:name="def-binary-variable"/>
    <w:p>
      <w:pPr>
        <w:pStyle w:val="FirstParagraph"/>
      </w:pPr>
      <w:r>
        <w:rPr>
          <w:b/>
          <w:bCs/>
        </w:rPr>
        <w:t xml:space="preserve">Definition 23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variable that takes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84"/>
    <w:bookmarkStart w:id="85" w:name="exm-binary-variable"/>
    <w:p>
      <w:pPr>
        <w:pStyle w:val="BodyText"/>
      </w:pPr>
      <w:r>
        <w:rPr>
          <w:b/>
          <w:bCs/>
        </w:rPr>
        <w:t xml:space="preserve">Example 22 (A binary variable is an indicator)</w:t>
      </w:r>
      <w:r>
        <w:t xml:space="preserve"> </w:t>
      </w:r>
      <w:r>
        <w:t xml:space="preserve">In a study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people,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 and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binary variable (</w:t>
      </w:r>
      <w:hyperlink w:anchor="def-binary-variable">
        <w:r>
          <w:rPr>
            <w:rStyle w:val="Hyperlink"/>
          </w:rPr>
          <w:t xml:space="preserve">Definition 23</w:t>
        </w:r>
      </w:hyperlink>
      <w:r>
        <w:t xml:space="preserve">).</w:t>
      </w:r>
      <w:r>
        <w:t xml:space="preserve"> </w:t>
      </w:r>
      <w:r>
        <w:t xml:space="preserve">It is also the predicate indicator (</w:t>
      </w:r>
      <w:hyperlink w:anchor="def-indicator-function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smokes”</w:t>
      </w:r>
      <w:r>
        <w:t xml:space="preserve">: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person </m:t>
            </m:r>
            <m:r>
              <m:t>i</m:t>
            </m:r>
            <m:r>
              <m:rPr>
                <m:nor/>
                <m:sty m:val="p"/>
              </m:rPr>
              <m:t> smokes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the same way,</w:t>
      </w:r>
      <w:r>
        <w:t xml:space="preserve"> </w:t>
      </w:r>
      <w:r>
        <w:t xml:space="preserve">every indicator is a binary variable,</w:t>
      </w:r>
      <w:r>
        <w:t xml:space="preserve"> </w:t>
      </w:r>
      <w:r>
        <w:t xml:space="preserve">and every binary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indicator of its own value being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since both sides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5"/>
    <w:bookmarkStart w:id="93" w:name="X156504d913efc1f49ad7c2e43ace68824d2fb5d"/>
    <w:p>
      <w:pPr>
        <w:pStyle w:val="Heading3"/>
      </w:pPr>
      <w:r>
        <w:t xml:space="preserve">6.1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t xml:space="preserve">set notation or predicate notation.</w:t>
      </w:r>
    </w:p>
    <w:bookmarkStart w:id="86" w:name="def-set-predicate-notation"/>
    <w:p>
      <w:pPr>
        <w:pStyle w:val="BodyText"/>
      </w:pPr>
      <w:r>
        <w:rPr>
          <w:b/>
          <w:bCs/>
        </w:rPr>
        <w:t xml:space="preserve">Definition 24 (Set notation and predicate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22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when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as a subscript,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 </w:t>
      </w:r>
      <w:r>
        <w:t xml:space="preserve">when a proposition or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 appears as its argument,</w:t>
      </w:r>
      <w:r>
        <w:t xml:space="preserve"> </w:t>
      </w:r>
      <w:r>
        <w:t xml:space="preserve">as in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</w:p>
    <w:bookmarkEnd w:id="86"/>
    <w:bookmarkStart w:id="87" w:name="exm-set-predicate-notation"/>
    <w:p>
      <w:pPr>
        <w:pStyle w:val="BodyText"/>
      </w:pPr>
      <w:r>
        <w:rPr>
          <w:b/>
          <w:bCs/>
        </w:rPr>
        <w:t xml:space="preserve">Example 23 (One indicator in both notations)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the nonnegative real numbers.</w:t>
      </w:r>
      <w:r>
        <w:t xml:space="preserve"> </w:t>
      </w:r>
      <w:r>
        <w:t xml:space="preserve">The indicator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set notation,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in predicate notation</w:t>
      </w:r>
      <w:r>
        <w:t xml:space="preserve"> </w:t>
      </w:r>
      <w:r>
        <w:t xml:space="preserve">(</w:t>
      </w:r>
      <w:hyperlink w:anchor="def-set-predicate-notation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, all three equal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, all three equal</w:t>
      </w:r>
      <w:r>
        <w:t xml:space="preserve"> </w:t>
      </w:r>
      <m:oMath>
        <m:r>
          <m:t>0</m:t>
        </m:r>
      </m:oMath>
      <w:r>
        <w:t xml:space="preserve">.</w:t>
      </w:r>
    </w:p>
    <w:bookmarkEnd w:id="87"/>
    <w:bookmarkStart w:id="88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 set notation,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28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28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28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28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28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space,</w:t>
      </w:r>
      <w:r>
        <w:t xml:space="preserve"> </w:t>
      </w:r>
      <w:r>
        <w:t xml:space="preserve">the set of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p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finite),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88"/>
    <w:bookmarkStart w:id="89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 predicate notation,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29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29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29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29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29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(</w:t>
      </w:r>
      <w:hyperlink w:anchor="def-inequality">
        <w:r>
          <w:rPr>
            <w:rStyle w:val="Hyperlink"/>
          </w:rPr>
          <w:t xml:space="preserve">Definition 13</w:t>
        </w:r>
      </w:hyperlink>
      <w:r>
        <w:t xml:space="preserve">)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89"/>
    <w:bookmarkStart w:id="92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Start w:id="90" w:name="def-support"/>
    <w:p>
      <w:pPr>
        <w:pStyle w:val="FirstParagraph"/>
      </w:pPr>
      <w:r>
        <w:rPr>
          <w:b/>
          <w:bCs/>
        </w:rPr>
        <w:t xml:space="preserve">Definition 25 (Support of a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a discrete distribution</w:t>
      </w:r>
      <w:r>
        <w:t xml:space="preserve"> </w:t>
      </w:r>
      <w:r>
        <w:t xml:space="preserve">is the set of values it gives positive probability.</w:t>
      </w:r>
      <w:r>
        <w:t xml:space="preserve"> </w:t>
      </w:r>
      <w:r>
        <w:t xml:space="preserve">The support of a continuous distribution</w:t>
      </w:r>
      <w:r>
        <w:t xml:space="preserve"> </w:t>
      </w:r>
      <w:r>
        <w:t xml:space="preserve">is the set of values where its density is positive.</w:t>
      </w:r>
    </w:p>
    <w:bookmarkEnd w:id="90"/>
    <w:bookmarkStart w:id="91" w:name="exm-support"/>
    <w:p>
      <w:pPr>
        <w:pStyle w:val="BodyText"/>
      </w:pPr>
      <w:r>
        <w:rPr>
          <w:b/>
          <w:bCs/>
        </w:rPr>
        <w:t xml:space="preserve">Example 24 (Supports of two count distributions)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0"/>
        </w:numPr>
      </w:pPr>
      <w:r>
        <w:t xml:space="preserve">A fair six-sided die gives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probability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other value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A count that 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 so on,</w:t>
      </w:r>
      <w:r>
        <w:t xml:space="preserve"> </w:t>
      </w:r>
      <w:r>
        <w:t xml:space="preserve">each with positive probability,</w:t>
      </w:r>
      <w:r>
        <w:t xml:space="preserve"> </w:t>
      </w:r>
      <w:r>
        <w:t xml:space="preserve">such as the number of hospital visits in a year,</w:t>
      </w:r>
      <w:r>
        <w:t xml:space="preserve"> </w:t>
      </w:r>
      <w:r>
        <w:t xml:space="preserve">has support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91"/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(</w:t>
      </w:r>
      <w:hyperlink w:anchor="def-support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92"/>
    <w:bookmarkEnd w:id="93"/>
    <w:bookmarkStart w:id="100" w:name="iverson-bracket-notation"/>
    <w:p>
      <w:pPr>
        <w:pStyle w:val="Heading3"/>
      </w:pPr>
      <w:r>
        <w:t xml:space="preserve">6.2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</w:t>
      </w:r>
      <w:r>
        <w:t xml:space="preserve"> </w:t>
      </w:r>
      <w:hyperlink r:id="rId94">
        <w:r>
          <w:rPr>
            <w:rStyle w:val="Hyperlink"/>
          </w:rPr>
          <w:t xml:space="preserve">Iverson bracket</w:t>
        </w:r>
      </w:hyperlink>
      <w:r>
        <w:t xml:space="preserve">.</w:t>
      </w:r>
    </w:p>
    <w:bookmarkStart w:id="95" w:name="def-iverson-bracket"/>
    <w:p>
      <w:pPr>
        <w:pStyle w:val="BodyText"/>
      </w:pPr>
      <w:r>
        <w:rPr>
          <w:b/>
          <w:bCs/>
        </w:rPr>
        <w:t xml:space="preserve">Definition 26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95"/>
    <w:bookmarkStart w:id="96" w:name="exm-iverson-bracket"/>
    <w:p>
      <w:pPr>
        <w:pStyle w:val="FirstParagraph"/>
      </w:pPr>
      <w:r>
        <w:rPr>
          <w:b/>
          <w:bCs/>
        </w:rPr>
        <w:t xml:space="preserve">Example 25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1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31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31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96"/>
    <w:bookmarkStart w:id="97" w:name="rem-iverson-indicator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22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become</w:t>
      </w:r>
      <w:r>
        <w:t xml:space="preserve"> </w:t>
      </w:r>
      <m:oMath>
        <m:r>
          <m:rPr>
            <m:sty m:val="p"/>
          </m:rPr>
          <m:t>[</m:t>
        </m:r>
        <m:r>
          <m:t>7.2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7"/>
    <w:bookmarkStart w:id="98" w:name="def-kronecker-delta"/>
    <w:p>
      <w:pPr>
        <w:pStyle w:val="BodyText"/>
      </w:pPr>
      <w:r>
        <w:rPr>
          <w:b/>
          <w:bCs/>
        </w:rPr>
        <w:t xml:space="preserve">Definition 27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26</w:t>
        </w:r>
      </w:hyperlink>
      <w:r>
        <w:t xml:space="preserve">).</w:t>
      </w:r>
    </w:p>
    <w:bookmarkEnd w:id="98"/>
    <w:bookmarkStart w:id="99" w:name="exm-kronecker-delta"/>
    <w:p>
      <w:pPr>
        <w:pStyle w:val="BodyText"/>
      </w:pPr>
      <w:r>
        <w:rPr>
          <w:b/>
          <w:bCs/>
        </w:rPr>
        <w:t xml:space="preserve">Example 26 (Evaluating the Kronecker delta)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2"/>
        </w:numPr>
      </w:pPr>
      <m:oMath>
        <m:sSub>
          <m:e>
            <m:r>
              <m:t>δ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m:oMath>
        <m:sSub>
          <m:e>
            <m:r>
              <m:t>δ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m:oMath>
        <m:sSub>
          <m:e>
            <m:r>
              <m:t>δ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m:oMath>
        <m:sSub>
          <m:e>
            <m:r>
              <m:t>δ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9"/>
    <w:bookmarkEnd w:id="100"/>
    <w:bookmarkStart w:id="104" w:name="Xd6f58182005cccf55080a628cd9152d2b1165ed"/>
    <w:p>
      <w:pPr>
        <w:pStyle w:val="Heading3"/>
      </w:pPr>
      <w:r>
        <w:t xml:space="preserve">6.3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</w:t>
      </w:r>
      <w:r>
        <w:t xml:space="preserve"> </w:t>
      </w:r>
      <w:hyperlink r:id="rId101">
        <w:r>
          <w:rPr>
            <w:rStyle w:val="Hyperlink"/>
          </w:rPr>
          <w:t xml:space="preserve">finite set</w:t>
        </w:r>
      </w:hyperlink>
      <w:r>
        <w:t xml:space="preserve"> </w:t>
      </w:r>
      <w:r>
        <w:t xml:space="preserve">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</w:t>
      </w:r>
      <w:r>
        <w:t xml:space="preserve"> </w:t>
      </w:r>
      <w:hyperlink r:id="rId102">
        <w:r>
          <w:rPr>
            <w:rStyle w:val="Hyperlink"/>
          </w:rPr>
          <w:t xml:space="preserve">closed intervals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hyperlink r:id="rId103">
        <w:r>
          <w:rPr>
            <w:rStyle w:val="Hyperlink"/>
          </w:rPr>
          <w:t xml:space="preserve">conditional expectations</w:t>
        </w:r>
      </w:hyperlink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 </w:t>
      </w:r>
      <w:r>
        <w:t xml:space="preserve">(defined in the probability notes),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104"/>
    <w:bookmarkStart w:id="106" w:name="summary-of-indicator-notations"/>
    <w:p>
      <w:pPr>
        <w:pStyle w:val="Heading3"/>
      </w:pPr>
      <w:r>
        <w:t xml:space="preserve">6.4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5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the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, which measures how much a sample tells about a parameter.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in probability, that name instead means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↦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t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a random variable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105"/>
          <w:p/>
        </w:tc>
      </w:tr>
    </w:tbl>
    <w:bookmarkEnd w:id="106"/>
    <w:bookmarkStart w:id="107" w:name="conventions-in-this-book"/>
    <w:p>
      <w:pPr>
        <w:pStyle w:val="Heading3"/>
      </w:pPr>
      <w:r>
        <w:t xml:space="preserve">6.5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observed and expected Fisher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107"/>
    <w:bookmarkStart w:id="117" w:name="key-algebraic-properties"/>
    <w:p>
      <w:pPr>
        <w:pStyle w:val="Heading3"/>
      </w:pPr>
      <w:r>
        <w:t xml:space="preserve">6.6 Key algebraic properties</w:t>
      </w:r>
    </w:p>
    <w:p>
      <w:pPr>
        <w:pStyle w:val="FirstParagraph"/>
      </w:pPr>
      <w:r>
        <w:t xml:space="preserve">Indicator functions translate the logical connectives (</w:t>
      </w:r>
      <w:hyperlink w:anchor="def-logical-connective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“and”</w:t>
      </w:r>
      <w:r>
        <w:t xml:space="preserve">,</w:t>
      </w:r>
      <w:r>
        <w:t xml:space="preserve"> </w:t>
      </w:r>
      <w:r>
        <w:t xml:space="preserve">“or”</w:t>
      </w:r>
      <w:r>
        <w:t xml:space="preserve">, and</w:t>
      </w:r>
      <w:r>
        <w:t xml:space="preserve"> </w:t>
      </w:r>
      <w:r>
        <w:t xml:space="preserve">“not”</w:t>
      </w:r>
      <w:r>
        <w:t xml:space="preserve">, applied to set membership,</w:t>
      </w:r>
      <w:r>
        <w:t xml:space="preserve"> </w:t>
      </w:r>
      <w:r>
        <w:t xml:space="preserve">into ordinary arithmetic on real numbers.</w:t>
      </w:r>
      <w:r>
        <w:t xml:space="preserve"> </w:t>
      </w:r>
      <w:r>
        <w:t xml:space="preserve">One of the identities below uses idempotence:</w:t>
      </w:r>
    </w:p>
    <w:bookmarkStart w:id="109" w:name="def-idempotent"/>
    <w:p>
      <w:pPr>
        <w:pStyle w:val="BodyText"/>
      </w:pPr>
      <w:r>
        <w:rPr>
          <w:b/>
          <w:bCs/>
        </w:rPr>
        <w:t xml:space="preserve">Definition 28 (Idempotent)</w:t>
      </w:r>
      <w:r>
        <w:t xml:space="preserve"> </w:t>
      </w:r>
      <w:r>
        <w:t xml:space="preserve">A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real values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its</w:t>
      </w:r>
      <w:r>
        <w:t xml:space="preserve"> </w:t>
      </w:r>
      <w:hyperlink r:id="rId108">
        <w:r>
          <w:rPr>
            <w:rStyle w:val="Hyperlink"/>
          </w:rPr>
          <w:t xml:space="preserve">domain</w:t>
        </w:r>
      </w:hyperlink>
      <w:r>
        <w:t xml:space="preserve">.</w:t>
      </w:r>
    </w:p>
    <w:bookmarkEnd w:id="109"/>
    <w:bookmarkStart w:id="111" w:name="exm-idempotent-indicator"/>
    <w:p>
      <w:pPr>
        <w:pStyle w:val="BodyText"/>
      </w:pPr>
      <w:r>
        <w:rPr>
          <w:b/>
          <w:bCs/>
        </w:rPr>
        <w:t xml:space="preserve">Example 27 (Idempotent numbers and indicators)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4"/>
        </w:numPr>
      </w:pP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idempotent: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4"/>
        </w:numPr>
      </w:pPr>
      <m:oMath>
        <m:r>
          <m:t>2</m:t>
        </m:r>
      </m:oMath>
      <w:r>
        <w:t xml:space="preserve"> </w:t>
      </w:r>
      <w:r>
        <w:t xml:space="preserve">is not idempotent: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34"/>
        </w:numPr>
      </w:pPr>
      <w:r>
        <w:t xml:space="preserve">Every indicator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idempotent,</w:t>
      </w:r>
      <w:r>
        <w:t xml:space="preserve"> </w:t>
      </w:r>
      <w:r>
        <w:t xml:space="preserve">because each of its values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r:id="rId110">
        <w:r>
          <w:rPr>
            <w:rStyle w:val="Hyperlink"/>
          </w:rPr>
          <w:t xml:space="preserve">idempotent matrices</w:t>
        </w:r>
      </w:hyperlink>
      <w:r>
        <w:t xml:space="preserve"> </w:t>
      </w:r>
      <w:r>
        <w:t xml:space="preserve">of linear algebra satisfy the same equation with matrix multiplication: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M</m:t>
        </m:r>
      </m:oMath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.</w:t>
      </w:r>
    </w:p>
    <w:bookmarkEnd w:id="111"/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12">
        <w:r>
          <w:rPr>
            <w:rStyle w:val="Hyperlink"/>
          </w:rPr>
          <w:t xml:space="preserve">complement</w:t>
        </w:r>
      </w:hyperlink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5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5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5"/>
        </w:numPr>
      </w:pPr>
      <w:r>
        <w:rPr>
          <w:b/>
          <w:bCs/>
        </w:rPr>
        <w:t xml:space="preserve">Idempotence (</w:t>
      </w:r>
      <w:hyperlink w:anchor="def-idempotent">
        <w:r>
          <w:rPr>
            <w:rStyle w:val="Hyperlink"/>
            <w:b/>
            <w:bCs/>
          </w:rPr>
          <w:t xml:space="preserve">Definition 28</w:t>
        </w:r>
      </w:hyperlink>
      <w:r>
        <w:rPr>
          <w:b/>
          <w:bCs/>
        </w:rPr>
        <w:t xml:space="preserve">):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5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r:id="rId113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</w:t>
      </w:r>
      <w:r>
        <w:t xml:space="preserve"> </w:t>
      </w:r>
      <w:hyperlink r:id="rId114">
        <w:r>
          <w:rPr>
            <w:rStyle w:val="Hyperlink"/>
          </w:rPr>
          <w:t xml:space="preserve">event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</w:t>
      </w:r>
      <w:r>
        <w:t xml:space="preserve"> </w:t>
      </w:r>
      <w:hyperlink r:id="rId115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 event</w:t>
      </w:r>
      <w:r>
        <w:t xml:space="preserve"> </w:t>
      </w:r>
      <w:r>
        <w:t xml:space="preserve">(all four terms are defined in the Morrison Lab’s probability notes):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This</w:t>
      </w:r>
      <w:r>
        <w:t xml:space="preserve"> </w:t>
      </w:r>
      <w:hyperlink r:id="rId116">
        <w:r>
          <w:rPr>
            <w:rStyle w:val="Hyperlink"/>
          </w:rPr>
          <w:t xml:space="preserve">identity</w:t>
        </w:r>
      </w:hyperlink>
      <w:r>
        <w:t xml:space="preserve"> </w:t>
      </w:r>
      <w:r>
        <w:t xml:space="preserve">turns probabilities into expectations.</w:t>
      </w:r>
      <w:r>
        <w:t xml:space="preserve"> </w:t>
      </w:r>
      <w:r>
        <w:t xml:space="preserve">It is the mathematical foundation for:</w:t>
      </w:r>
    </w:p>
    <w:p>
      <w:pPr>
        <w:pStyle w:val="Compact"/>
        <w:numPr>
          <w:ilvl w:val="0"/>
          <w:numId w:val="1036"/>
        </w:numPr>
      </w:pPr>
      <w:r>
        <w:t xml:space="preserve">empirical proportions;</w:t>
      </w:r>
    </w:p>
    <w:p>
      <w:pPr>
        <w:pStyle w:val="Compact"/>
        <w:numPr>
          <w:ilvl w:val="0"/>
          <w:numId w:val="1036"/>
        </w:numPr>
      </w:pPr>
      <w:r>
        <w:t xml:space="preserve">estimators of survival curves,</w:t>
      </w:r>
      <w:r>
        <w:t xml:space="preserve"> </w:t>
      </w:r>
      <w:r>
        <w:t xml:space="preserve">the probability of no event by each time;</w:t>
      </w:r>
    </w:p>
    <w:p>
      <w:pPr>
        <w:pStyle w:val="Compact"/>
        <w:numPr>
          <w:ilvl w:val="0"/>
          <w:numId w:val="1036"/>
        </w:numPr>
      </w:pPr>
      <w:r>
        <w:t xml:space="preserve">regression models for binary outcomes.</w:t>
      </w:r>
    </w:p>
    <w:bookmarkEnd w:id="117"/>
    <w:bookmarkEnd w:id="118"/>
    <w:bookmarkStart w:id="137" w:name="sec-notational-shorthands"/>
    <w:p>
      <w:pPr>
        <w:pStyle w:val="Heading2"/>
      </w:pPr>
      <w:r>
        <w:t xml:space="preserve">7 Notational shorthands</w:t>
      </w:r>
    </w:p>
    <w:bookmarkStart w:id="121" w:name="def-lower-upper-limits"/>
    <w:p>
      <w:pPr>
        <w:pStyle w:val="FirstParagraph"/>
      </w:pPr>
      <w:r>
        <w:rPr>
          <w:b/>
          <w:bCs/>
        </w:rPr>
        <w:t xml:space="preserve">Definition 29 (Lower and upper limits of a sum or integral)</w:t>
      </w:r>
      <w:r>
        <w:t xml:space="preserve"> </w:t>
      </w:r>
      <w:r>
        <w:t xml:space="preserve">In a</w:t>
      </w:r>
      <w:r>
        <w:t xml:space="preserve"> </w:t>
      </w:r>
      <w:hyperlink r:id="rId119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 last value.</w:t>
      </w:r>
      <w:r>
        <w:t xml:space="preserve"> </w:t>
      </w:r>
      <w:r>
        <w:t xml:space="preserve">In an</w:t>
      </w:r>
      <w:r>
        <w:t xml:space="preserve"> </w:t>
      </w:r>
      <w:hyperlink r:id="rId120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 right end;</w:t>
      </w:r>
      <w:r>
        <w:t xml:space="preserve"> </w:t>
      </w:r>
      <w:r>
        <w:t xml:space="preserve">together they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  <w:r>
        <w:t xml:space="preserve"> </w:t>
      </w:r>
      <w:r>
        <w:t xml:space="preserve">In both, the lower limit is written below the symbol</w:t>
      </w:r>
      <w:r>
        <w:t xml:space="preserve"> </w:t>
      </w:r>
      <w:r>
        <w:t xml:space="preserve">and the upper limit above it.</w:t>
      </w:r>
    </w:p>
    <w:bookmarkEnd w:id="121"/>
    <w:bookmarkStart w:id="122" w:name="exm-lower-upper-limits"/>
    <w:p>
      <w:pPr>
        <w:pStyle w:val="BodyText"/>
      </w:pPr>
      <w:r>
        <w:rPr>
          <w:b/>
          <w:bCs/>
        </w:rPr>
        <w:t xml:space="preserve">Example 28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7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22"/>
    <w:bookmarkStart w:id="124" w:name="rem-limits-two-meanings"/>
    <w:p>
      <w:pPr>
        <w:pStyle w:val="FirstParagraph"/>
      </w:pPr>
      <w:r>
        <w:rPr>
          <w:i/>
          <w:iCs/>
        </w:rPr>
        <w:t xml:space="preserve">Remark 4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23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r:id="rId63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24"/>
    <w:bookmarkStart w:id="125" w:name="def-notational-shorthand"/>
    <w:p>
      <w:pPr>
        <w:pStyle w:val="BodyText"/>
      </w:pPr>
      <w:r>
        <w:rPr>
          <w:b/>
          <w:bCs/>
        </w:rPr>
        <w:t xml:space="preserve">Definition 30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  <w:r>
        <w:t xml:space="preserve"> </w:t>
      </w:r>
      <w:r>
        <w:t xml:space="preserve">The expression with every part written out is its</w:t>
      </w:r>
      <w:r>
        <w:t xml:space="preserve"> </w:t>
      </w:r>
      <w:r>
        <w:rPr>
          <w:b/>
          <w:bCs/>
        </w:rPr>
        <w:t xml:space="preserve">full form</w:t>
      </w:r>
      <w:r>
        <w:t xml:space="preserve">.</w:t>
      </w:r>
    </w:p>
    <w:bookmarkEnd w:id="1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28" w:name="def-range-of-variable"/>
    <w:p>
      <w:pPr>
        <w:pStyle w:val="FirstParagraph"/>
      </w:pPr>
      <w:r>
        <w:rPr>
          <w:b/>
          <w:bCs/>
        </w:rPr>
        <w:t xml:space="preserve">Definition 31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28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129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30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31">
        <w:r>
          <w:rPr>
            <w:rStyle w:val="Hyperlink"/>
          </w:rPr>
          <w:t xml:space="preserve">Image and 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2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r:id="rId132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r:id="rId119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33"/>
          <w:p/>
        </w:tc>
      </w:tr>
    </w:tbl>
    <w:bookmarkStart w:id="135" w:name="rem-indefinite-integral-not-shorthand"/>
    <w:p>
      <w:pPr>
        <w:pStyle w:val="BodyText"/>
      </w:pPr>
      <w:r>
        <w:rPr>
          <w:i/>
          <w:iCs/>
        </w:rPr>
        <w:t xml:space="preserve">Remark 5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34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35"/>
    <w:bookmarkStart w:id="136" w:name="exm-expand-index-shorthand"/>
    <w:p>
      <w:pPr>
        <w:pStyle w:val="BodyText"/>
      </w:pPr>
      <w:r>
        <w:rPr>
          <w:b/>
          <w:bCs/>
        </w:rPr>
        <w:t xml:space="preserve">Example 29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36"/>
    <w:bookmarkEnd w:id="137"/>
    <w:bookmarkStart w:id="144" w:name="X93a3d4ef5e06a67ae6b891e46b41b74b3674f55"/>
    <w:p>
      <w:pPr>
        <w:pStyle w:val="Heading2"/>
      </w:pPr>
      <w:r>
        <w:t xml:space="preserve">8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138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139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140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141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142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(Nelder and Wedderburn 1972)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143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144"/>
    <w:bookmarkStart w:id="146" w:name="sec-further-reading"/>
    <w:p>
      <w:pPr>
        <w:pStyle w:val="Heading2"/>
      </w:pPr>
      <w:r>
        <w:t xml:space="preserve">9 Further reading</w:t>
      </w:r>
    </w:p>
    <w:p>
      <w:pPr>
        <w:pStyle w:val="FirstParagraph"/>
      </w:pPr>
      <w:r>
        <w:t xml:space="preserve">For the logical symbols and proof conventions used in these notes:</w:t>
      </w:r>
    </w:p>
    <w:p>
      <w:pPr>
        <w:pStyle w:val="Compact"/>
        <w:numPr>
          <w:ilvl w:val="0"/>
          <w:numId w:val="1039"/>
        </w:numPr>
      </w:pPr>
      <w:r>
        <w:t xml:space="preserve">Velleman (2019)</w:t>
      </w:r>
      <w:r>
        <w:t xml:space="preserve"> </w:t>
      </w:r>
      <w:r>
        <w:t xml:space="preserve">explains how mathematical statements are built from</w:t>
      </w:r>
      <w:r>
        <w:t xml:space="preserve"> </w:t>
      </w:r>
      <w:r>
        <w:t xml:space="preserve">logical connectives (</w:t>
      </w:r>
      <w:hyperlink w:anchor="def-logical-connective">
        <w:r>
          <w:rPr>
            <w:rStyle w:val="Hyperlink"/>
          </w:rPr>
          <w:t xml:space="preserve">Definition 11</w:t>
        </w:r>
      </w:hyperlink>
      <w:r>
        <w:t xml:space="preserve">) and quantifiers (</w:t>
      </w:r>
      <w:hyperlink w:anchor="def-quantifier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39"/>
        </w:numPr>
      </w:pPr>
      <w:r>
        <w:t xml:space="preserve">Barker-Plummer et al. (2011)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logic (the logic of connectives)</w:t>
      </w:r>
      <w:r>
        <w:t xml:space="preserve"> </w:t>
      </w:r>
      <w:r>
        <w:t xml:space="preserve">and first-order logic (which adds quantifiers).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145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page.</w:t>
      </w:r>
    </w:p>
    <w:bookmarkEnd w:id="146"/>
    <w:bookmarkStart w:id="155" w:name="references"/>
    <w:p>
      <w:pPr>
        <w:pStyle w:val="Heading2"/>
      </w:pPr>
      <w:r>
        <w:t xml:space="preserve">References</w:t>
      </w:r>
    </w:p>
    <w:bookmarkStart w:id="154" w:name="refs"/>
    <w:bookmarkStart w:id="148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47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48"/>
    <w:bookmarkStart w:id="150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  <w:r>
        <w:t xml:space="preserve"> </w:t>
      </w:r>
      <w:hyperlink r:id="rId149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150"/>
    <w:bookmarkStart w:id="151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51"/>
    <w:bookmarkStart w:id="153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152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153"/>
    <w:bookmarkEnd w:id="154"/>
    <w:bookmarkEnd w:id="1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  <w:footnote w:id="1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generalized linear model (GLM) is a regression model</w:t>
      </w:r>
      <w:r>
        <w:t xml:space="preserve"> </w:t>
      </w:r>
      <w:r>
        <w:t xml:space="preserve">in which a chosen function</w:t>
      </w:r>
      <w:r>
        <w:t xml:space="preserve"> </w:t>
      </w:r>
      <m:oMath>
        <m:r>
          <m:t>g</m:t>
        </m:r>
      </m:oMath>
      <w:r>
        <w:t xml:space="preserve">, the link function,</w:t>
      </w:r>
      <w:r>
        <w:t xml:space="preserve"> </w:t>
      </w:r>
      <w:r>
        <w:t xml:space="preserve">of the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outcome</w:t>
      </w:r>
      <w:r>
        <w:t xml:space="preserve"> </w:t>
      </w:r>
      <w:r>
        <w:t xml:space="preserve">equals the linear predictor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β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18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 predictor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β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hyperlink" Id="rId65" Target="algebra.qmd#def-distributive" TargetMode="External" /><Relationship Type="http://schemas.openxmlformats.org/officeDocument/2006/relationships/hyperlink" Id="rId116" Target="algebra.qmd#def-identity" TargetMode="External" /><Relationship Type="http://schemas.openxmlformats.org/officeDocument/2006/relationships/hyperlink" Id="rId63" Target="algebra.qmd#def-sequence-limit" TargetMode="External" /><Relationship Type="http://schemas.openxmlformats.org/officeDocument/2006/relationships/hyperlink" Id="rId42" Target="algebra.qmd#def-square-root" TargetMode="External" /><Relationship Type="http://schemas.openxmlformats.org/officeDocument/2006/relationships/hyperlink" Id="rId132" Target="algebra.qmd#def-sum-over-set" TargetMode="External" /><Relationship Type="http://schemas.openxmlformats.org/officeDocument/2006/relationships/hyperlink" Id="rId119" Target="algebra.qmd#def-summation" TargetMode="External" /><Relationship Type="http://schemas.openxmlformats.org/officeDocument/2006/relationships/hyperlink" Id="rId10" Target="algebra.qmd#sec-summation" TargetMode="External" /><Relationship Type="http://schemas.openxmlformats.org/officeDocument/2006/relationships/hyperlink" Id="rId68" Target="algebra.qmd#thm-square-of-a-sum" TargetMode="External" /><Relationship Type="http://schemas.openxmlformats.org/officeDocument/2006/relationships/hyperlink" Id="rId13" Target="calculus.qmd#def-derivative" TargetMode="External" /><Relationship Type="http://schemas.openxmlformats.org/officeDocument/2006/relationships/hyperlink" Id="rId134" Target="calculus.qmd#def-indefinite-integral" TargetMode="External" /><Relationship Type="http://schemas.openxmlformats.org/officeDocument/2006/relationships/hyperlink" Id="rId123" Target="calculus.qmd#def-limit" TargetMode="External" /><Relationship Type="http://schemas.openxmlformats.org/officeDocument/2006/relationships/hyperlink" Id="rId120" Target="calculus.qmd#def-riemann-integral" TargetMode="External" /><Relationship Type="http://schemas.openxmlformats.org/officeDocument/2006/relationships/hyperlink" Id="rId152" Target="https://doi.org/10.1017/9781108539890" TargetMode="External" /><Relationship Type="http://schemas.openxmlformats.org/officeDocument/2006/relationships/hyperlink" Id="rId149" Target="https://doi.org/10.2307/2344614" TargetMode="External" /><Relationship Type="http://schemas.openxmlformats.org/officeDocument/2006/relationships/hyperlink" Id="rId34" Target="https://en.wikipedia.org/w/index.php?title=Natural_number&amp;oldid=1375965996" TargetMode="External" /><Relationship Type="http://schemas.openxmlformats.org/officeDocument/2006/relationships/hyperlink" Id="rId139" Target="https://en.wikipedia.org/wiki/Al-Jabr" TargetMode="External" /><Relationship Type="http://schemas.openxmlformats.org/officeDocument/2006/relationships/hyperlink" Id="rId140" Target="https://en.wikipedia.org/wiki/Arithmetic#History" TargetMode="External" /><Relationship Type="http://schemas.openxmlformats.org/officeDocument/2006/relationships/hyperlink" Id="rId16" Target="https://en.wikipedia.org/wiki/Generalized_linear_model#:~:text=The%20linear%20predictor%20is%20the,data%20through%20the%20link%20function" TargetMode="External" /><Relationship Type="http://schemas.openxmlformats.org/officeDocument/2006/relationships/hyperlink" Id="rId142" Target="https://en.wikipedia.org/wiki/History_of_statistics#Development_of_modern_statistics" TargetMode="External" /><Relationship Type="http://schemas.openxmlformats.org/officeDocument/2006/relationships/hyperlink" Id="rId94" Target="https://en.wikipedia.org/wiki/Iverson_bracket" TargetMode="External" /><Relationship Type="http://schemas.openxmlformats.org/officeDocument/2006/relationships/hyperlink" Id="rId138" Target="https://en.wikipedia.org/wiki/Leibniz%27s_notation" TargetMode="External" /><Relationship Type="http://schemas.openxmlformats.org/officeDocument/2006/relationships/hyperlink" Id="rId141" Target="https://en.wikipedia.org/wiki/Notation_for_differentiation" TargetMode="External" /><Relationship Type="http://schemas.openxmlformats.org/officeDocument/2006/relationships/hyperlink" Id="rId47" Target="https://en.wikipedia.org/wiki/Percentage" TargetMode="External" /><Relationship Type="http://schemas.openxmlformats.org/officeDocument/2006/relationships/hyperlink" Id="rId44" Target="https://en.wikipedia.org/wiki/Proof_that_%CF%80_is_irrational" TargetMode="External" /><Relationship Type="http://schemas.openxmlformats.org/officeDocument/2006/relationships/hyperlink" Id="rId43" Target="https://en.wikipedia.org/wiki/Square_root_of_2" TargetMode="External" /><Relationship Type="http://schemas.openxmlformats.org/officeDocument/2006/relationships/hyperlink" Id="rId143" Target="https://en.wikipedia.org/wiki/The_Structure_of_Scientific_Revolutions" TargetMode="External" /><Relationship Type="http://schemas.openxmlformats.org/officeDocument/2006/relationships/hyperlink" Id="rId103" Target="https://morrison-lab.github.io/pds/expectation.html#def-cond-expectation" TargetMode="External" /><Relationship Type="http://schemas.openxmlformats.org/officeDocument/2006/relationships/hyperlink" Id="rId12" Target="https://morrison-lab.github.io/pds/expectation.html#def-expectation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9" Target="https://morrison-lab.github.io/pds/probability-basics.html#def-conditional-prob" TargetMode="External" /><Relationship Type="http://schemas.openxmlformats.org/officeDocument/2006/relationships/hyperlink" Id="rId114" Target="https://morrison-lab.github.io/pds/probability-basics.html#def-event" TargetMode="External" /><Relationship Type="http://schemas.openxmlformats.org/officeDocument/2006/relationships/hyperlink" Id="rId115" Target="https://morrison-lab.github.io/pds/probability-basics.html#def-probability" TargetMode="External" /><Relationship Type="http://schemas.openxmlformats.org/officeDocument/2006/relationships/hyperlink" Id="rId113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20" Target="https://quarto.org/docs/authoring/markdown-basics.html#equations" TargetMode="External" /><Relationship Type="http://schemas.openxmlformats.org/officeDocument/2006/relationships/hyperlink" Id="rId147" Target="https://www.amazon.com/dp/1575866323" TargetMode="External" /><Relationship Type="http://schemas.openxmlformats.org/officeDocument/2006/relationships/hyperlink" Id="rId110" Target="linear-algebra.qmd#def-idempotent-matrix" TargetMode="External" /><Relationship Type="http://schemas.openxmlformats.org/officeDocument/2006/relationships/hyperlink" Id="rId18" Target="linear-algebra.qmd#def-linear-combination" TargetMode="External" /><Relationship Type="http://schemas.openxmlformats.org/officeDocument/2006/relationships/hyperlink" Id="rId145" Target="sets-functions.qmd" TargetMode="External" /><Relationship Type="http://schemas.openxmlformats.org/officeDocument/2006/relationships/hyperlink" Id="rId112" Target="sets-functions.qmd#def-complement" TargetMode="External" /><Relationship Type="http://schemas.openxmlformats.org/officeDocument/2006/relationships/hyperlink" Id="rId108" Target="sets-functions.qmd#def-domain" TargetMode="External" /><Relationship Type="http://schemas.openxmlformats.org/officeDocument/2006/relationships/hyperlink" Id="rId101" Target="sets-functions.qmd#def-finite-set" TargetMode="External" /><Relationship Type="http://schemas.openxmlformats.org/officeDocument/2006/relationships/hyperlink" Id="rId129" Target="sets-functions.qmd#def-function" TargetMode="External" /><Relationship Type="http://schemas.openxmlformats.org/officeDocument/2006/relationships/hyperlink" Id="rId130" Target="sets-functions.qmd#def-image" TargetMode="External" /><Relationship Type="http://schemas.openxmlformats.org/officeDocument/2006/relationships/hyperlink" Id="rId102" Target="sets-functions.qmd#def-interval" TargetMode="External" /><Relationship Type="http://schemas.openxmlformats.org/officeDocument/2006/relationships/hyperlink" Id="rId131" Target="sets-functions.qmd#rem-image-ran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algebra.qmd#def-distributive" TargetMode="External" /><Relationship Type="http://schemas.openxmlformats.org/officeDocument/2006/relationships/hyperlink" Id="rId116" Target="algebra.qmd#def-identity" TargetMode="External" /><Relationship Type="http://schemas.openxmlformats.org/officeDocument/2006/relationships/hyperlink" Id="rId63" Target="algebra.qmd#def-sequence-limit" TargetMode="External" /><Relationship Type="http://schemas.openxmlformats.org/officeDocument/2006/relationships/hyperlink" Id="rId42" Target="algebra.qmd#def-square-root" TargetMode="External" /><Relationship Type="http://schemas.openxmlformats.org/officeDocument/2006/relationships/hyperlink" Id="rId132" Target="algebra.qmd#def-sum-over-set" TargetMode="External" /><Relationship Type="http://schemas.openxmlformats.org/officeDocument/2006/relationships/hyperlink" Id="rId119" Target="algebra.qmd#def-summation" TargetMode="External" /><Relationship Type="http://schemas.openxmlformats.org/officeDocument/2006/relationships/hyperlink" Id="rId10" Target="algebra.qmd#sec-summation" TargetMode="External" /><Relationship Type="http://schemas.openxmlformats.org/officeDocument/2006/relationships/hyperlink" Id="rId68" Target="algebra.qmd#thm-square-of-a-sum" TargetMode="External" /><Relationship Type="http://schemas.openxmlformats.org/officeDocument/2006/relationships/hyperlink" Id="rId13" Target="calculus.qmd#def-derivative" TargetMode="External" /><Relationship Type="http://schemas.openxmlformats.org/officeDocument/2006/relationships/hyperlink" Id="rId134" Target="calculus.qmd#def-indefinite-integral" TargetMode="External" /><Relationship Type="http://schemas.openxmlformats.org/officeDocument/2006/relationships/hyperlink" Id="rId123" Target="calculus.qmd#def-limit" TargetMode="External" /><Relationship Type="http://schemas.openxmlformats.org/officeDocument/2006/relationships/hyperlink" Id="rId120" Target="calculus.qmd#def-riemann-integral" TargetMode="External" /><Relationship Type="http://schemas.openxmlformats.org/officeDocument/2006/relationships/hyperlink" Id="rId152" Target="https://doi.org/10.1017/9781108539890" TargetMode="External" /><Relationship Type="http://schemas.openxmlformats.org/officeDocument/2006/relationships/hyperlink" Id="rId149" Target="https://doi.org/10.2307/2344614" TargetMode="External" /><Relationship Type="http://schemas.openxmlformats.org/officeDocument/2006/relationships/hyperlink" Id="rId34" Target="https://en.wikipedia.org/w/index.php?title=Natural_number&amp;oldid=1375965996" TargetMode="External" /><Relationship Type="http://schemas.openxmlformats.org/officeDocument/2006/relationships/hyperlink" Id="rId139" Target="https://en.wikipedia.org/wiki/Al-Jabr" TargetMode="External" /><Relationship Type="http://schemas.openxmlformats.org/officeDocument/2006/relationships/hyperlink" Id="rId140" Target="https://en.wikipedia.org/wiki/Arithmetic#History" TargetMode="External" /><Relationship Type="http://schemas.openxmlformats.org/officeDocument/2006/relationships/hyperlink" Id="rId16" Target="https://en.wikipedia.org/wiki/Generalized_linear_model#:~:text=The%20linear%20predictor%20is%20the,data%20through%20the%20link%20function" TargetMode="External" /><Relationship Type="http://schemas.openxmlformats.org/officeDocument/2006/relationships/hyperlink" Id="rId142" Target="https://en.wikipedia.org/wiki/History_of_statistics#Development_of_modern_statistics" TargetMode="External" /><Relationship Type="http://schemas.openxmlformats.org/officeDocument/2006/relationships/hyperlink" Id="rId94" Target="https://en.wikipedia.org/wiki/Iverson_bracket" TargetMode="External" /><Relationship Type="http://schemas.openxmlformats.org/officeDocument/2006/relationships/hyperlink" Id="rId138" Target="https://en.wikipedia.org/wiki/Leibniz%27s_notation" TargetMode="External" /><Relationship Type="http://schemas.openxmlformats.org/officeDocument/2006/relationships/hyperlink" Id="rId141" Target="https://en.wikipedia.org/wiki/Notation_for_differentiation" TargetMode="External" /><Relationship Type="http://schemas.openxmlformats.org/officeDocument/2006/relationships/hyperlink" Id="rId47" Target="https://en.wikipedia.org/wiki/Percentage" TargetMode="External" /><Relationship Type="http://schemas.openxmlformats.org/officeDocument/2006/relationships/hyperlink" Id="rId44" Target="https://en.wikipedia.org/wiki/Proof_that_%CF%80_is_irrational" TargetMode="External" /><Relationship Type="http://schemas.openxmlformats.org/officeDocument/2006/relationships/hyperlink" Id="rId43" Target="https://en.wikipedia.org/wiki/Square_root_of_2" TargetMode="External" /><Relationship Type="http://schemas.openxmlformats.org/officeDocument/2006/relationships/hyperlink" Id="rId143" Target="https://en.wikipedia.org/wiki/The_Structure_of_Scientific_Revolutions" TargetMode="External" /><Relationship Type="http://schemas.openxmlformats.org/officeDocument/2006/relationships/hyperlink" Id="rId103" Target="https://morrison-lab.github.io/pds/expectation.html#def-cond-expectation" TargetMode="External" /><Relationship Type="http://schemas.openxmlformats.org/officeDocument/2006/relationships/hyperlink" Id="rId12" Target="https://morrison-lab.github.io/pds/expectation.html#def-expectation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9" Target="https://morrison-lab.github.io/pds/probability-basics.html#def-conditional-prob" TargetMode="External" /><Relationship Type="http://schemas.openxmlformats.org/officeDocument/2006/relationships/hyperlink" Id="rId114" Target="https://morrison-lab.github.io/pds/probability-basics.html#def-event" TargetMode="External" /><Relationship Type="http://schemas.openxmlformats.org/officeDocument/2006/relationships/hyperlink" Id="rId115" Target="https://morrison-lab.github.io/pds/probability-basics.html#def-probability" TargetMode="External" /><Relationship Type="http://schemas.openxmlformats.org/officeDocument/2006/relationships/hyperlink" Id="rId113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20" Target="https://quarto.org/docs/authoring/markdown-basics.html#equations" TargetMode="External" /><Relationship Type="http://schemas.openxmlformats.org/officeDocument/2006/relationships/hyperlink" Id="rId147" Target="https://www.amazon.com/dp/1575866323" TargetMode="External" /><Relationship Type="http://schemas.openxmlformats.org/officeDocument/2006/relationships/hyperlink" Id="rId110" Target="linear-algebra.qmd#def-idempotent-matrix" TargetMode="External" /><Relationship Type="http://schemas.openxmlformats.org/officeDocument/2006/relationships/hyperlink" Id="rId18" Target="linear-algebra.qmd#def-linear-combination" TargetMode="External" /><Relationship Type="http://schemas.openxmlformats.org/officeDocument/2006/relationships/hyperlink" Id="rId145" Target="sets-functions.qmd" TargetMode="External" /><Relationship Type="http://schemas.openxmlformats.org/officeDocument/2006/relationships/hyperlink" Id="rId112" Target="sets-functions.qmd#def-complement" TargetMode="External" /><Relationship Type="http://schemas.openxmlformats.org/officeDocument/2006/relationships/hyperlink" Id="rId108" Target="sets-functions.qmd#def-domain" TargetMode="External" /><Relationship Type="http://schemas.openxmlformats.org/officeDocument/2006/relationships/hyperlink" Id="rId101" Target="sets-functions.qmd#def-finite-set" TargetMode="External" /><Relationship Type="http://schemas.openxmlformats.org/officeDocument/2006/relationships/hyperlink" Id="rId129" Target="sets-functions.qmd#def-function" TargetMode="External" /><Relationship Type="http://schemas.openxmlformats.org/officeDocument/2006/relationships/hyperlink" Id="rId130" Target="sets-functions.qmd#def-image" TargetMode="External" /><Relationship Type="http://schemas.openxmlformats.org/officeDocument/2006/relationships/hyperlink" Id="rId102" Target="sets-functions.qmd#def-interval" TargetMode="External" /><Relationship Type="http://schemas.openxmlformats.org/officeDocument/2006/relationships/hyperlink" Id="rId131" Target="sets-functions.qmd#rem-image-ran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2026-10-06T05:49:55Z</dcterms:created>
  <dcterms:modified xsi:type="dcterms:W3CDTF">2026-10-06T05:49:55Z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22:39:57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