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r>
        <w:t xml:space="preserve">Last modified: 2026-10-15 02:47:39 (PDT)</w:t>
      </w:r>
    </w:p>
    <w:p>
      <w:pPr>
        <w:pStyle w:val="FirstParagraph"/>
      </w:pPr>
      <w:r>
        <w:t xml:space="preserve">Mathematical notation is not standardized.</w:t>
      </w:r>
      <w:r>
        <w:t xml:space="preserve"> </w:t>
      </w:r>
      <w:r>
        <w:t xml:space="preserve">This section states the conventions these notes use,</w:t>
      </w:r>
      <w:r>
        <w:t xml:space="preserve"> </w:t>
      </w:r>
      <w:r>
        <w:t xml:space="preserve">and the alternatives you may meet in other sources.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tbl-notation-collecte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used in this book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391"/>
              <w:gridCol w:w="5351"/>
              <w:gridCol w:w="1177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¬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9">
                    <w:r>
                      <w:rPr>
                        <w:rStyle w:val="Hyperlink"/>
                      </w:rPr>
                      <w:t xml:space="preserve">not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\neg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∀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for all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\forall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∃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there exists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\exists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∪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union,</w:t>
                  </w:r>
                  <w:r>
                    <w:t xml:space="preserve"> </w:t>
                  </w:r>
                  <w:r>
                    <w:t xml:space="preserve">“or”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∩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intersection,</w:t>
                  </w:r>
                  <w:r>
                    <w:t xml:space="preserve"> </w:t>
                  </w:r>
                  <w:r>
                    <w:t xml:space="preserve">“and”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\cap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∣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given,</w:t>
                  </w:r>
                  <w:r>
                    <w:t xml:space="preserve"> </w:t>
                  </w:r>
                  <w:hyperlink r:id="rId11">
                    <w:r>
                      <w:rPr>
                        <w:rStyle w:val="Hyperlink"/>
                      </w:rPr>
                      <w:t xml:space="preserve">conditional 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\mid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|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sum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\sum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product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\prod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μ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 of a</w:t>
                  </w:r>
                  <w:r>
                    <w:t xml:space="preserve"> </w:t>
                  </w:r>
                  <w:hyperlink r:id="rId13">
                    <w:r>
                      <w:rPr>
                        <w:rStyle w:val="Hyperlink"/>
                      </w:rPr>
                      <w:t xml:space="preserve">random variable</w:t>
                    </w:r>
                  </w:hyperlink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\mu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E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4">
                    <w:r>
                      <w:rPr>
                        <w:rStyle w:val="Hyperlink"/>
                      </w:rPr>
                      <w:t xml:space="preserve">expectation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\mathbb{E}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x\'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′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or</w:t>
                  </w:r>
                  <w:r>
                    <w:t xml:space="preserve"> </w:t>
                  </w:r>
                  <w:hyperlink r:id="rId15">
                    <w:r>
                      <w:rPr>
                        <w:rStyle w:val="Hyperlink"/>
                      </w:rPr>
                      <w:t xml:space="preserve">derivative</w:t>
                    </w:r>
                  </w:hyperlink>
                  <w:r>
                    <w:rPr>
                      <w:rStyle w:val="FootnoteReference"/>
                    </w:rPr>
                    <w:footnoteReference w:id="16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7">
                    <w:r>
                      <w:rPr>
                        <w:rStyle w:val="Hyperlink"/>
                      </w:rPr>
                      <w:t xml:space="preserve">independent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\perp\!\!\!\perp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∴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8">
                    <w:r>
                      <w:rPr>
                        <w:rStyle w:val="Hyperlink"/>
                      </w:rPr>
                      <w:t xml:space="preserve">therefore</w:t>
                    </w:r>
                  </w:hyperlink>
                  <w:r>
                    <w:t xml:space="preserve">, thus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\therefore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9">
                    <w:r>
                      <w:rPr>
                        <w:rStyle w:val="Hyperlink"/>
                      </w:rPr>
                      <w:t xml:space="preserve">linear predictor</w:t>
                    </w:r>
                  </w:hyperlink>
                  <w:r>
                    <w:t xml:space="preserve"> </w:t>
                  </w:r>
                  <w:r>
                    <w:t xml:space="preserve">of a generalized linear model</w:t>
                  </w:r>
                  <w:r>
                    <w:rPr>
                      <w:rStyle w:val="FootnoteReference"/>
                    </w:rPr>
                    <w:footnoteReference w:id="20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\eta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⌊"/>
                        <m:sepChr m:val=""/>
                        <m:endChr m:val="⌋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floor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largest</w:t>
                  </w:r>
                  <w:r>
                    <w:t xml:space="preserve"> </w:t>
                  </w:r>
                  <w:hyperlink w:anchor="def-integers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less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\lfloor x \rfloor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⌈"/>
                        <m:sepChr m:val=""/>
                        <m:endChr m:val="⌉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ceiling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smallest</w:t>
                  </w:r>
                  <w:r>
                    <w:t xml:space="preserve"> </w:t>
                  </w:r>
                  <w:hyperlink w:anchor="def-integers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greater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\lceil x \rceil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P</m:t>
                        </m:r>
                      </m:e>
                    </m:d>
                    <m:r>
                      <m:t>​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indicator function (</w:t>
                  </w:r>
                  <w:hyperlink w:anchor="sec-indicator-functions">
                    <w:r>
                      <w:rPr>
                        <w:rStyle w:val="Hyperlink"/>
                      </w:rPr>
                      <w:t xml:space="preserve">Section 5</w:t>
                    </w:r>
                  </w:hyperlink>
                  <w:r>
                    <w:t xml:space="preserve">):</w:t>
                  </w:r>
                  <w:r>
                    <w:t xml:space="preserve"> </w:t>
                  </w:r>
                  <m:oMath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if condition holds,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otherwise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\indic{A}(x)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\indicp{P}</w:t>
                  </w:r>
                </w:p>
              </w:tc>
            </w:tr>
          </w:tbl>
          <w:bookmarkEnd w:id="22"/>
          <w:p/>
        </w:tc>
      </w:tr>
    </w:tbl>
    <w:p>
      <w:pPr>
        <w:pStyle w:val="BodyText"/>
      </w:pPr>
      <w:r>
        <w:t xml:space="preserve">The links for conditioning, random variables, expectation, and independence</w:t>
      </w:r>
      <w:r>
        <w:t xml:space="preserve"> </w:t>
      </w:r>
      <w:r>
        <w:t xml:space="preserve">go to the Morrison Lab’s probability notes,</w:t>
      </w:r>
      <w:r>
        <w:t xml:space="preserve"> </w:t>
      </w:r>
      <w:r>
        <w:t xml:space="preserve">which define those terms.</w:t>
      </w:r>
    </w:p>
    <w:bookmarkStart w:id="24" w:name="sec-writing-math-quarto"/>
    <w:p>
      <w:pPr>
        <w:pStyle w:val="Heading2"/>
      </w:pPr>
      <w:r>
        <w:t xml:space="preserve">1 Writing math in Quarto</w:t>
      </w:r>
    </w:p>
    <w:p>
      <w:pPr>
        <w:pStyle w:val="FirstParagraph"/>
      </w:pPr>
      <w:r>
        <w:t xml:space="preserve">The third column of</w:t>
      </w:r>
      <w:r>
        <w:t xml:space="preserve"> </w:t>
      </w:r>
      <w:hyperlink w:anchor="tbl-notation-collected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gives the LaTeX command for each symbol.</w:t>
      </w:r>
      <w:r>
        <w:t xml:space="preserve"> </w:t>
      </w:r>
      <w:r>
        <w:t xml:space="preserve">Quarto and R Markdown documents write math in LaTeX syntax:</w:t>
      </w:r>
      <w:r>
        <w:t xml:space="preserve"> </w:t>
      </w:r>
      <w:r>
        <w:t xml:space="preserve">put inline math between single dollar signs, as in</w:t>
      </w:r>
      <w:r>
        <w:t xml:space="preserve"> </w:t>
      </w:r>
      <w:r>
        <w:rPr>
          <w:rStyle w:val="VerbatimChar"/>
        </w:rPr>
        <w:t xml:space="preserve">$x^2$</w:t>
      </w:r>
      <w:r>
        <w:t xml:space="preserve">,</w:t>
      </w:r>
      <w:r>
        <w:t xml:space="preserve"> </w:t>
      </w:r>
      <w:r>
        <w:t xml:space="preserve">and displayed equations between double dollar signs, as in</w:t>
      </w:r>
      <w:r>
        <w:t xml:space="preserve"> </w:t>
      </w:r>
      <w:r>
        <w:rPr>
          <w:rStyle w:val="VerbatimChar"/>
        </w:rPr>
        <w:t xml:space="preserve">$$x^2$$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equations section of Quarto’s Markdown guide</w:t>
        </w:r>
      </w:hyperlink>
      <w:r>
        <w:t xml:space="preserve"> </w:t>
      </w:r>
      <w:r>
        <w:t xml:space="preserve">shows the details.</w:t>
      </w:r>
      <w:r>
        <w:t xml:space="preserve"> </w:t>
      </w:r>
      <w:r>
        <w:t xml:space="preserve">These notes also use shorthand macros,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\floor{x}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defined in the</w:t>
      </w:r>
      <w:r>
        <w:t xml:space="preserve"> </w:t>
      </w:r>
      <w:r>
        <w:rPr>
          <w:rStyle w:val="VerbatimChar"/>
        </w:rPr>
        <w:t xml:space="preserve">latex-macros</w:t>
      </w:r>
      <w:r>
        <w:t xml:space="preserve"> </w:t>
      </w:r>
      <w:r>
        <w:t xml:space="preserve">submodule’s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</w:t>
      </w:r>
    </w:p>
    <w:bookmarkEnd w:id="24"/>
    <w:bookmarkStart w:id="38" w:name="sec-notation-naturals"/>
    <w:p>
      <w:pPr>
        <w:pStyle w:val="Heading2"/>
      </w:pPr>
      <w:r>
        <w:t xml:space="preserve">2 Natural numbers</w:t>
      </w:r>
    </w:p>
    <w:bookmarkStart w:id="25" w:name="exr-naturals-below-three"/>
    <w:p>
      <w:pPr>
        <w:pStyle w:val="FirstParagraph"/>
      </w:pPr>
      <w:r>
        <w:rPr>
          <w:b/>
          <w:bCs/>
        </w:rPr>
        <w:t xml:space="preserve">Exercise 1 (Which numbers are natural?)</w:t>
      </w:r>
      <w:r>
        <w:t xml:space="preserve"> </w:t>
      </w:r>
      <w:r>
        <w:t xml:space="preserve">List the elements of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  <m:r>
              <m:rPr>
                <m:sty m:val="p"/>
              </m:rPr>
              <m:t>:</m:t>
            </m:r>
            <m:r>
              <m:t>n</m:t>
            </m:r>
            <m:r>
              <m:rPr>
                <m:sty m:val="p"/>
              </m:rPr>
              <m:t>&lt;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Is your answer the same in every textbook?</w:t>
      </w:r>
    </w:p>
    <w:bookmarkEnd w:id="25"/>
    <w:bookmarkStart w:id="26" w:name="sol-naturals-below-thre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answer depends on whether the source counts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 a natural number: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0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1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Both conventions are in common use,</w:t>
      </w:r>
      <w:r>
        <w:t xml:space="preserve"> </w:t>
      </w:r>
      <w:r>
        <w:t xml:space="preserve">so the answer is not the same in every textbook.</w:t>
      </w:r>
    </w:p>
    <w:bookmarkEnd w:id="26"/>
    <w:bookmarkStart w:id="27" w:name="def-integers"/>
    <w:p>
      <w:pPr>
        <w:pStyle w:val="BodyText"/>
      </w:pPr>
      <w:r>
        <w:rPr>
          <w:b/>
          <w:bCs/>
        </w:rPr>
        <w:t xml:space="preserve">Definition 1 (Integers)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integers</w:t>
      </w:r>
      <w:r>
        <w:t xml:space="preserve"> </w:t>
      </w:r>
      <w:r>
        <w:t xml:space="preserve">are the whole numbers,</w:t>
      </w:r>
      <w:r>
        <w:t xml:space="preserve"> </w:t>
      </w:r>
      <w:r>
        <w:t xml:space="preserve">together with their negatives and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integer</w:t>
      </w:r>
      <w:r>
        <w:t xml:space="preserve"> </w:t>
      </w:r>
      <w:r>
        <w:t xml:space="preserve">is an element of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.</w:t>
      </w:r>
      <w:r>
        <w:t xml:space="preserve"> </w:t>
      </w:r>
      <w:r>
        <w:t xml:space="preserve">The integers greater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positive integers</w:t>
      </w:r>
      <w:r>
        <w:t xml:space="preserve">,</w:t>
      </w:r>
      <w:r>
        <w:t xml:space="preserve"> </w:t>
      </w:r>
      <w:r>
        <w:t xml:space="preserve">and the integers less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negative integers</w:t>
      </w:r>
      <w:r>
        <w:t xml:space="preserve">.</w:t>
      </w:r>
    </w:p>
    <w:bookmarkEnd w:id="27"/>
    <w:bookmarkStart w:id="28" w:name="exm-integers"/>
    <w:p>
      <w:pPr>
        <w:pStyle w:val="BodyText"/>
      </w:pPr>
      <w:r>
        <w:rPr>
          <w:b/>
          <w:bCs/>
        </w:rPr>
        <w:t xml:space="preserve">Example 1 (Integers and non-integers)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−</m:t>
        </m:r>
        <m:r>
          <m:t>7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are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are not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is an integer, because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8"/>
    <w:bookmarkStart w:id="29" w:name="def-even-odd"/>
    <w:p>
      <w:pPr>
        <w:pStyle w:val="FirstParagraph"/>
      </w:pPr>
      <w:r>
        <w:rPr>
          <w:b/>
          <w:bCs/>
        </w:rPr>
        <w:t xml:space="preserve">Definition 2 (Even and odd integers)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even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odd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29"/>
    <w:bookmarkStart w:id="30" w:name="exm-even-odd"/>
    <w:p>
      <w:pPr>
        <w:pStyle w:val="BodyText"/>
      </w:pPr>
      <w:r>
        <w:rPr>
          <w:b/>
          <w:bCs/>
        </w:rPr>
        <w:t xml:space="preserve">Example 2 (Even and odd 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6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0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7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2.5</m:t>
        </m:r>
      </m:oMath>
      <w:r>
        <w:t xml:space="preserve"> </w:t>
      </w:r>
      <w:r>
        <w:t xml:space="preserve">is neither even nor odd, because it is not an integer.</w:t>
      </w:r>
    </w:p>
    <w:bookmarkEnd w:id="30"/>
    <w:bookmarkStart w:id="31" w:name="def-natural-numbers"/>
    <w:p>
      <w:pPr>
        <w:pStyle w:val="FirstParagraph"/>
      </w:pPr>
      <w:r>
        <w:rPr>
          <w:b/>
          <w:bCs/>
        </w:rPr>
        <w:t xml:space="preserve">Definition 3 (Natural numbers (our convention))</w:t>
      </w:r>
      <w:r>
        <w:t xml:space="preserve"> </w:t>
      </w:r>
      <w:r>
        <w:t xml:space="preserve">In these notes, the</w:t>
      </w:r>
      <w:r>
        <w:t xml:space="preserve"> </w:t>
      </w:r>
      <w:r>
        <w:rPr>
          <w:b/>
          <w:bCs/>
        </w:rPr>
        <w:t xml:space="preserve">natural numbers</w:t>
      </w:r>
      <w:r>
        <w:t xml:space="preserve"> </w:t>
      </w:r>
      <w:r>
        <w:t xml:space="preserve">are the positive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bookmarkEnd w:id="31"/>
    <w:bookmarkStart w:id="32" w:name="def-nonnegative-integers"/>
    <w:p>
      <w:pPr>
        <w:pStyle w:val="FirstParagraph"/>
      </w:pPr>
      <w:r>
        <w:rPr>
          <w:b/>
          <w:bCs/>
        </w:rPr>
        <w:t xml:space="preserve">Definition 4 (Non-negative 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non-negative integers</w:t>
      </w:r>
      <w:r>
        <w:t xml:space="preserve"> </w:t>
      </w:r>
      <w:r>
        <w:t xml:space="preserve">are the natural numbers (</w:t>
      </w:r>
      <w:hyperlink w:anchor="def-natural-numbers">
        <w:r>
          <w:rPr>
            <w:rStyle w:val="Hyperlink"/>
          </w:rPr>
          <w:t xml:space="preserve">Definition 3</w:t>
        </w:r>
      </w:hyperlink>
      <w:r>
        <w:t xml:space="preserve">) together with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N</m:t>
              </m:r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</m:e>
          </m:d>
          <m:r>
            <m:t>​</m:t>
          </m:r>
        </m:oMath>
      </m:oMathPara>
    </w:p>
    <w:bookmarkEnd w:id="32"/>
    <w:bookmarkStart w:id="33" w:name="exm-natural-numbers"/>
    <w:p>
      <w:pPr>
        <w:pStyle w:val="FirstParagraph"/>
      </w:pPr>
      <w:r>
        <w:rPr>
          <w:b/>
          <w:bCs/>
        </w:rPr>
        <w:t xml:space="preserve">Example 3 (Natural numbers in a data analysis)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Observation indices start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we write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 count outcome, such as the number of hospital visits in a year,</w:t>
      </w:r>
      <w:r>
        <w:t xml:space="preserve"> </w:t>
      </w:r>
      <w:r>
        <w:t xml:space="preserve">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set of values it can take 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, not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3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Other conventions for the natural numbers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Other sources may define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differently,</w:t>
            </w:r>
            <w:r>
              <w:t xml:space="preserve"> </w:t>
            </w:r>
            <w:r>
              <w:t xml:space="preserve">so check each source’s definition before reading its formulas: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Many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international standard ISO 80000-2 defines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to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continuing the earlier standard ISO 31-11 (1978).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Other sources start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as these notes do.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To remove the ambiguity,</w:t>
            </w:r>
            <w:r>
              <w:t xml:space="preserve"> </w:t>
            </w:r>
            <w:r>
              <w:t xml:space="preserve">some sources write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The words vary too.</w:t>
            </w:r>
            <w:r>
              <w:t xml:space="preserve"> </w:t>
            </w:r>
            <w:r>
              <w:t xml:space="preserve">“Positive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“non-negative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are unambiguous.</w:t>
            </w:r>
            <w:r>
              <w:t xml:space="preserve"> </w:t>
            </w:r>
            <w:r>
              <w:t xml:space="preserve">“Whole numbers”</w:t>
            </w:r>
            <w:r>
              <w:t xml:space="preserve"> </w:t>
            </w:r>
            <w:r>
              <w:t xml:space="preserve">usually includes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can also mean all of the integers, negative ones included.</w:t>
            </w:r>
            <w:r>
              <w:t xml:space="preserve"> </w:t>
            </w:r>
            <w:r>
              <w:t xml:space="preserve">“Counting numbers”</w:t>
            </w:r>
            <w:r>
              <w:t xml:space="preserve"> </w:t>
            </w:r>
            <w:r>
              <w:t xml:space="preserve">usually starts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some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Some older texts write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for the natural numbers.</w:t>
            </w:r>
          </w:p>
          <w:p>
            <w:pPr>
              <w:pStyle w:val="FirstParagraph"/>
            </w:pPr>
            <w:r>
              <w:t xml:space="preserve">When a formula’s meaning depends on whether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is included,</w:t>
            </w:r>
            <w:r>
              <w:t xml:space="preserve"> </w:t>
            </w:r>
            <w:r>
              <w:t xml:space="preserve">we write the set out explicitly,</w:t>
            </w:r>
            <w:r>
              <w:t xml:space="preserve"> </w:t>
            </w:r>
            <w:r>
              <w:t xml:space="preserve">for example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Source:</w:t>
            </w:r>
            <w:r>
              <w:t xml:space="preserve"> </w:t>
            </w:r>
            <w:hyperlink r:id="rId37">
              <w:r>
                <w:rPr>
                  <w:rStyle w:val="Hyperlink"/>
                </w:rPr>
                <w:t xml:space="preserve">Wikipedia,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“Natural number”</w:t>
              </w:r>
              <w:r>
                <w:rPr>
                  <w:rStyle w:val="Hyperlink"/>
                </w:rPr>
                <w:t xml:space="preserve">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“Terminology and notation”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and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“Zero as natural number”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which cites ISO 80000-2:2019 and the textbooks using each notation.</w:t>
            </w:r>
          </w:p>
          <w:p/>
        </w:tc>
      </w:tr>
    </w:tbl>
    <w:bookmarkEnd w:id="38"/>
    <w:bookmarkStart w:id="49" w:name="sec-notation-reals"/>
    <w:p>
      <w:pPr>
        <w:pStyle w:val="Heading2"/>
      </w:pPr>
      <w:r>
        <w:t xml:space="preserve">3 Rational, real, and irrational numbers</w:t>
      </w:r>
    </w:p>
    <w:bookmarkStart w:id="39" w:name="def-rational-numbers"/>
    <w:p>
      <w:pPr>
        <w:pStyle w:val="FirstParagraph"/>
      </w:pPr>
      <w:r>
        <w:rPr>
          <w:b/>
          <w:bCs/>
        </w:rPr>
        <w:t xml:space="preserve">Definition 5 (Rational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rational number</w:t>
      </w:r>
      <w:r>
        <w:t xml:space="preserve"> </w:t>
      </w:r>
      <w:r>
        <w:t xml:space="preserve">is a number that can be written as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set of rational numbers is written</w:t>
      </w:r>
      <w:r>
        <w:t xml:space="preserve"> </w:t>
      </w:r>
      <m:oMath>
        <m:r>
          <m:rPr>
            <m:scr m:val="double-struck"/>
            <m:sty m:val="p"/>
          </m:rPr>
          <m:t>Q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Q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0</m:t>
              </m:r>
            </m:e>
          </m:d>
          <m:r>
            <m:t>​</m:t>
          </m:r>
        </m:oMath>
      </m:oMathPara>
    </w:p>
    <w:bookmarkEnd w:id="39"/>
    <w:bookmarkStart w:id="40" w:name="exm-rational-numbers"/>
    <w:p>
      <w:pPr>
        <w:pStyle w:val="FirstParagraph"/>
      </w:pPr>
      <w:r>
        <w:rPr>
          <w:b/>
          <w:bCs/>
        </w:rPr>
        <w:t xml:space="preserve">Example 4 (Rational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is rational,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0.75</m:t>
        </m:r>
      </m:oMath>
      <w:r>
        <w:t xml:space="preserve"> </w:t>
      </w:r>
      <w:r>
        <w:t xml:space="preserve">is rational, because</w:t>
      </w:r>
      <w:r>
        <w:t xml:space="preserve"> </w:t>
      </w:r>
      <m:oMath>
        <m:r>
          <m:t>0.75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Every integer is rational: for example,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5</m:t>
            </m:r>
          </m:num>
          <m:den>
            <m:r>
              <m:t>1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0.333</m:t>
        </m:r>
        <m:r>
          <m:rPr>
            <m:sty m:val="p"/>
          </m:rPr>
          <m:t>…</m:t>
        </m:r>
      </m:oMath>
      <w:r>
        <w:t xml:space="preserve">, with the</w:t>
      </w:r>
      <w:r>
        <w:t xml:space="preserve"> </w:t>
      </w:r>
      <m:oMath>
        <m:r>
          <m:t>3</m:t>
        </m:r>
      </m:oMath>
      <w:r>
        <w:t xml:space="preserve">s repeating forever, is rational,</w:t>
      </w:r>
      <w:r>
        <w:t xml:space="preserve"> </w:t>
      </w:r>
      <w:r>
        <w:t xml:space="preserve">because</w:t>
      </w:r>
      <w:r>
        <w:t xml:space="preserve"> </w:t>
      </w:r>
      <m:oMath>
        <m:r>
          <m:t>0.333</m:t>
        </m:r>
        <m:r>
          <m:rPr>
            <m:sty m:val="p"/>
          </m:rPr>
          <m:t>…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40"/>
    <w:bookmarkStart w:id="41" w:name="def-real-numbers"/>
    <w:p>
      <w:pPr>
        <w:pStyle w:val="FirstParagraph"/>
      </w:pPr>
      <w:r>
        <w:rPr>
          <w:b/>
          <w:bCs/>
        </w:rPr>
        <w:t xml:space="preserve">Definition 6 (Real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number</w:t>
      </w:r>
      <w:r>
        <w:t xml:space="preserve"> </w:t>
      </w:r>
      <w:r>
        <w:t xml:space="preserve">is a number that can be written as a decimal expansion:</w:t>
      </w:r>
      <w:r>
        <w:t xml:space="preserve"> </w:t>
      </w:r>
      <w:r>
        <w:t xml:space="preserve">an integer part, followed by a decimal point</w:t>
      </w:r>
      <w:r>
        <w:t xml:space="preserve"> </w:t>
      </w:r>
      <w:r>
        <w:t xml:space="preserve">and a finite or infinite list of decimal places after it.</w:t>
      </w:r>
      <w:r>
        <w:t xml:space="preserve"> </w:t>
      </w:r>
      <w:r>
        <w:t xml:space="preserve">Equivalently, the real numbers are the points on the number line.</w:t>
      </w:r>
      <w:r>
        <w:t xml:space="preserve"> </w:t>
      </w:r>
      <w:r>
        <w:t xml:space="preserve">The set of real numbers is written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41"/>
    <w:bookmarkStart w:id="42" w:name="rem-real-numbers-working-definition"/>
    <w:p>
      <w:pPr>
        <w:pStyle w:val="BodyText"/>
      </w:pPr>
      <w:r>
        <w:rPr>
          <w:i/>
          <w:iCs/>
        </w:rPr>
        <w:t xml:space="preserve">Remark 1</w:t>
      </w:r>
      <w:r>
        <w:t xml:space="preserve"> (A working definition). </w:t>
      </w:r>
      <w:hyperlink w:anchor="def-real-number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a working definition, not a construction:</w:t>
      </w:r>
      <w:r>
        <w:t xml:space="preserve"> </w:t>
      </w:r>
      <w:r>
        <w:t xml:space="preserve">it does not say what an infinite decimal expansion is,</w:t>
      </w:r>
      <w:r>
        <w:t xml:space="preserve"> </w:t>
      </w:r>
      <w:r>
        <w:t xml:space="preserve">or how to add or multiply two of them.</w:t>
      </w:r>
      <w:r>
        <w:t xml:space="preserve"> </w:t>
      </w:r>
      <w:r>
        <w:t xml:space="preserve">Rudin (1976, Appendix to Chapter 1)</w:t>
      </w:r>
      <w:r>
        <w:t xml:space="preserve"> </w:t>
      </w:r>
      <w:r>
        <w:t xml:space="preserve">constructs the real numbers rigorously.</w:t>
      </w:r>
      <w:r>
        <w:t xml:space="preserve"> </w:t>
      </w:r>
      <w:r>
        <w:t xml:space="preserve">Some real numbers have two decimal expansions:</w:t>
      </w:r>
      <w:r>
        <w:t xml:space="preserve"> </w:t>
      </w:r>
      <w:r>
        <w:t xml:space="preserve">for example,</w:t>
      </w:r>
      <w:r>
        <w:t xml:space="preserve"> </w:t>
      </w:r>
      <m:oMath>
        <m:r>
          <m:t>0.999</m:t>
        </m:r>
        <m:r>
          <m:rPr>
            <m:sty m:val="p"/>
          </m:rPr>
          <m:t>…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1.000</m:t>
        </m:r>
        <m:r>
          <m:rPr>
            <m:sty m:val="p"/>
          </m:rPr>
          <m:t>…</m:t>
        </m:r>
      </m:oMath>
      <w:r>
        <w:t xml:space="preserve"> </w:t>
      </w:r>
      <w:r>
        <w:t xml:space="preserve">are the same real number,</w:t>
      </w:r>
      <w:r>
        <w:t xml:space="preserve"> </w:t>
      </w:r>
      <m:oMath>
        <m:r>
          <m:t>1</m:t>
        </m:r>
      </m:oMath>
      <w:r>
        <w:t xml:space="preserve">.</w:t>
      </w:r>
    </w:p>
    <w:bookmarkEnd w:id="42"/>
    <w:bookmarkStart w:id="43" w:name="exm-real-numbers"/>
    <w:p>
      <w:pPr>
        <w:pStyle w:val="BodyText"/>
      </w:pPr>
      <w:r>
        <w:rPr>
          <w:b/>
          <w:bCs/>
        </w:rPr>
        <w:t xml:space="preserve">Example 5 (Real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0.5</m:t>
        </m:r>
      </m:oMath>
      <w:r>
        <w:t xml:space="preserve">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0.333</m:t>
        </m:r>
        <m:r>
          <m:rPr>
            <m:sty m:val="p"/>
          </m:rPr>
          <m:t>…</m:t>
        </m:r>
      </m:oMath>
      <w:r>
        <w:t xml:space="preserve"> </w:t>
      </w:r>
      <w:r>
        <w:t xml:space="preserve">are real numbers.</w:t>
      </w:r>
    </w:p>
    <w:p>
      <w:pPr>
        <w:pStyle w:val="Compact"/>
        <w:numPr>
          <w:ilvl w:val="0"/>
          <w:numId w:val="1007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a real number.</w:t>
      </w:r>
    </w:p>
    <w:p>
      <w:pPr>
        <w:pStyle w:val="Compact"/>
        <w:numPr>
          <w:ilvl w:val="0"/>
          <w:numId w:val="1007"/>
        </w:numPr>
      </w:pPr>
      <w:r>
        <w:t xml:space="preserve">Every rational number (</w:t>
      </w:r>
      <w:hyperlink w:anchor="def-rational-numbers">
        <w:r>
          <w:rPr>
            <w:rStyle w:val="Hyperlink"/>
          </w:rPr>
          <w:t xml:space="preserve">Definition 5</w:t>
        </w:r>
      </w:hyperlink>
      <w:r>
        <w:t xml:space="preserve">) is a real number,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Q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43"/>
    <w:bookmarkStart w:id="44" w:name="def-irrational-numbers"/>
    <w:p>
      <w:pPr>
        <w:pStyle w:val="FirstParagraph"/>
      </w:pPr>
      <w:r>
        <w:rPr>
          <w:b/>
          <w:bCs/>
        </w:rPr>
        <w:t xml:space="preserve">Definition 7 (Irrational numbers)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irrational number</w:t>
      </w:r>
      <w:r>
        <w:t xml:space="preserve"> </w:t>
      </w:r>
      <w:r>
        <w:t xml:space="preserve">is a real number (</w:t>
      </w:r>
      <w:hyperlink w:anchor="def-real-numbers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that is not rational (</w:t>
      </w:r>
      <w:hyperlink w:anchor="def-rational-numbers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4"/>
    <w:bookmarkStart w:id="48" w:name="exm-irrational-numbers"/>
    <w:p>
      <w:pPr>
        <w:pStyle w:val="BodyText"/>
      </w:pPr>
      <w:r>
        <w:rPr>
          <w:b/>
          <w:bCs/>
        </w:rPr>
        <w:t xml:space="preserve">Example 6 (Irrational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>
          <m:t>1.41421</m:t>
        </m:r>
        <m:r>
          <m:rPr>
            <m:sty m:val="p"/>
          </m:rPr>
          <m:t>…</m:t>
        </m:r>
      </m:oMath>
      <w:r>
        <w:t xml:space="preserve">, the</w:t>
      </w:r>
      <w:r>
        <w:t xml:space="preserve"> </w:t>
      </w:r>
      <w:hyperlink r:id="rId45">
        <w:r>
          <w:rPr>
            <w:rStyle w:val="Hyperlink"/>
          </w:rPr>
          <w:t xml:space="preserve">square root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2</m:t>
        </m:r>
      </m:oMath>
      <w:r>
        <w:t xml:space="preserve">, is irrational:</w:t>
      </w:r>
      <w:r>
        <w:t xml:space="preserve"> </w:t>
      </w:r>
      <w:r>
        <w:t xml:space="preserve">no fraction of integers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squares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(see</w:t>
      </w:r>
      <w:r>
        <w:t xml:space="preserve"> </w:t>
      </w:r>
      <w:hyperlink r:id="rId46">
        <w:r>
          <w:rPr>
            <w:rStyle w:val="Hyperlink"/>
          </w:rPr>
          <w:t xml:space="preserve">Wikipedia: Square root of 2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irrational</w:t>
      </w:r>
      <w:r>
        <w:t xml:space="preserve"> </w:t>
      </w:r>
      <w:r>
        <w:t xml:space="preserve">(see</w:t>
      </w:r>
      <w:r>
        <w:t xml:space="preserve"> </w:t>
      </w:r>
      <w:hyperlink r:id="rId47">
        <w:r>
          <w:rPr>
            <w:rStyle w:val="Hyperlink"/>
          </w:rPr>
          <w:t xml:space="preserve">Wikipedia: Proof that</w:t>
        </w:r>
        <w:r>
          <w:rPr>
            <w:rStyle w:val="Hyperlink"/>
          </w:rPr>
          <w:t xml:space="preserve"> </w:t>
        </w:r>
        <m:oMath>
          <m:r>
            <m:t>π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is irrational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1.5</m:t>
        </m:r>
      </m:oMath>
      <w:r>
        <w:t xml:space="preserve"> </w:t>
      </w:r>
      <w:r>
        <w:t xml:space="preserve">is not irrational, because</w:t>
      </w:r>
      <w:r>
        <w:t xml:space="preserve"> </w:t>
      </w:r>
      <m:oMath>
        <m:r>
          <m:t>1.5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rational.</w:t>
      </w:r>
    </w:p>
    <w:bookmarkEnd w:id="48"/>
    <w:bookmarkEnd w:id="49"/>
    <w:bookmarkStart w:id="53" w:name="percent-sign"/>
    <w:p>
      <w:pPr>
        <w:pStyle w:val="Heading2"/>
      </w:pPr>
      <w:r>
        <w:t xml:space="preserve">4 Percent sign (</w:t>
      </w:r>
      <w:r>
        <w:t xml:space="preserve">“%”</w:t>
      </w:r>
      <w:r>
        <w:t xml:space="preserve">)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(cf. </w:t>
      </w:r>
      <w:hyperlink r:id="rId50">
        <w:r>
          <w:rPr>
            <w:rStyle w:val="Hyperlink"/>
          </w:rPr>
          <w:t xml:space="preserve">https://en.wikipedia.org/wiki/Percentage</w:t>
        </w:r>
      </w:hyperlink>
      <w:r>
        <w:t xml:space="preserve">).</w:t>
      </w:r>
    </w:p>
    <w:bookmarkStart w:id="51" w:name="def-percent"/>
    <w:p>
      <w:pPr>
        <w:pStyle w:val="BodyText"/>
      </w:pPr>
      <w:r>
        <w:rPr>
          <w:b/>
          <w:bCs/>
        </w:rPr>
        <w:t xml:space="preserve">Definition 8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51"/>
    <w:bookmarkStart w:id="52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52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53"/>
    <w:bookmarkStart w:id="93" w:name="sec-indicator-functions"/>
    <w:p>
      <w:pPr>
        <w:pStyle w:val="Heading2"/>
      </w:pPr>
      <w:r>
        <w:t xml:space="preserve">5 Indicator functions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is a mathematical function that signals</w:t>
      </w:r>
      <w:r>
        <w:t xml:space="preserve"> </w:t>
      </w:r>
      <w:r>
        <w:t xml:space="preserve">whether an element belongs to a specified set,</w:t>
      </w:r>
      <w:r>
        <w:t xml:space="preserve"> </w:t>
      </w:r>
      <w:r>
        <w:t xml:space="preserve">or whether a given logical condition is satisfied.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indicator functions are ubiquitous.</w:t>
      </w:r>
      <w:r>
        <w:t xml:space="preserve"> </w:t>
      </w:r>
      <w:r>
        <w:t xml:space="preserve">They represent:</w:t>
      </w:r>
    </w:p>
    <w:p>
      <w:pPr>
        <w:pStyle w:val="Compact"/>
        <w:numPr>
          <w:ilvl w:val="0"/>
          <w:numId w:val="1009"/>
        </w:numPr>
      </w:pPr>
      <w:r>
        <w:t xml:space="preserve">binary variables, which take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binary-variable">
        <w:r>
          <w:rPr>
            <w:rStyle w:val="Hyperlink"/>
          </w:rPr>
          <w:t xml:space="preserve">Definition 11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t xml:space="preserve">event and censoring indicators in survival analysis,</w:t>
      </w:r>
      <w:r>
        <w:t xml:space="preserve"> </w:t>
      </w:r>
      <w:r>
        <w:t xml:space="preserve">the study of the time until an event such as death,</w:t>
      </w:r>
      <w:r>
        <w:t xml:space="preserve"> </w:t>
      </w:r>
      <w:r>
        <w:t xml:space="preserve">where an observation is censored</w:t>
      </w:r>
      <w:r>
        <w:t xml:space="preserve"> </w:t>
      </w:r>
      <w:r>
        <w:t xml:space="preserve">when follow-up ends before its event is seen;</w:t>
      </w:r>
    </w:p>
    <w:p>
      <w:pPr>
        <w:pStyle w:val="Compact"/>
        <w:numPr>
          <w:ilvl w:val="0"/>
          <w:numId w:val="1009"/>
        </w:numPr>
      </w:pPr>
      <w:r>
        <w:t xml:space="preserve">membership in subpopulations;</w:t>
      </w:r>
    </w:p>
    <w:p>
      <w:pPr>
        <w:pStyle w:val="Compact"/>
        <w:numPr>
          <w:ilvl w:val="0"/>
          <w:numId w:val="1009"/>
        </w:numPr>
      </w:pPr>
      <w:r>
        <w:t xml:space="preserve">domain restrictions in integrals and sums.</w:t>
      </w:r>
    </w:p>
    <w:p>
      <w:pPr>
        <w:pStyle w:val="FirstParagraph"/>
      </w:pPr>
      <w:r>
        <w:t xml:space="preserve">Despite their conceptual simplicity,</w:t>
      </w:r>
      <w:r>
        <w:t xml:space="preserve"> </w:t>
      </w:r>
      <w:r>
        <w:t xml:space="preserve">notation for indicator functions varies substantially across textbooks,</w:t>
      </w:r>
      <w:r>
        <w:t xml:space="preserve"> </w:t>
      </w:r>
      <w:r>
        <w:t xml:space="preserve">research papers,</w:t>
      </w:r>
      <w:r>
        <w:t xml:space="preserve"> </w:t>
      </w:r>
      <w:r>
        <w:t xml:space="preserve">and subfields.</w:t>
      </w:r>
      <w:r>
        <w:t xml:space="preserve"> </w:t>
      </w:r>
      <w:r>
        <w:t xml:space="preserve">This section summarizes the principal notational conventions.</w:t>
      </w:r>
    </w:p>
    <w:bookmarkStart w:id="54" w:name="def-indicator-function"/>
    <w:p>
      <w:pPr>
        <w:pStyle w:val="BodyText"/>
      </w:pPr>
      <w:r>
        <w:rPr>
          <w:b/>
          <w:bCs/>
        </w:rPr>
        <w:t xml:space="preserve">Definition 9 (Indicator function (set indicator))</w:t>
      </w:r>
      <w:r>
        <w:t xml:space="preserve"> </w:t>
      </w:r>
      <w:r>
        <w:t xml:space="preserve">For any subset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ty m:val="p"/>
          </m:rPr>
          <m:t>Ω</m:t>
        </m:r>
      </m:oMath>
      <w:r>
        <w:t xml:space="preserve"> </w:t>
      </w:r>
      <w:r>
        <w:t xml:space="preserve">of a universal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set indicator</w:t>
      </w:r>
      <w:r>
        <w:t xml:space="preserve">,</w:t>
      </w:r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:</m:t>
        </m:r>
        <m:r>
          <m:rPr>
            <m:sty m:val="p"/>
          </m:rPr>
          <m:t>Ω</m:t>
        </m:r>
        <m:r>
          <m:rPr>
            <m:sty m:val="p"/>
          </m:rPr>
          <m:t>→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defined by: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∉</m:t>
                    </m:r>
                    <m:r>
                      <m:t>A</m:t>
                    </m:r>
                  </m:e>
                </m:mr>
              </m:m>
            </m:e>
          </m:d>
        </m:oMath>
      </m:oMathPara>
    </w:p>
    <w:bookmarkEnd w:id="54"/>
    <w:bookmarkStart w:id="55" w:name="def-predicate-indicator"/>
    <w:p>
      <w:pPr>
        <w:pStyle w:val="FirstParagraph"/>
      </w:pPr>
      <w:r>
        <w:rPr>
          <w:b/>
          <w:bCs/>
        </w:rPr>
        <w:t xml:space="preserve">Definition 10 (Predicate indicator)</w:t>
      </w:r>
      <w:r>
        <w:t xml:space="preserve"> </w:t>
      </w:r>
      <w:r>
        <w:t xml:space="preserve">For any logical proposition or predicate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predicate indicator</w:t>
      </w:r>
      <w:r>
        <w:t xml:space="preserve">,</w:t>
      </w:r>
      <w:r>
        <w:t xml:space="preserve"> </w:t>
      </w:r>
      <w:r>
        <w:t xml:space="preserve">takes the value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1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55"/>
    <w:bookmarkStart w:id="56" w:name="exm-indicator-numerical"/>
    <w:p>
      <w:pPr>
        <w:pStyle w:val="FirstParagraph"/>
      </w:pPr>
      <w:r>
        <w:rPr>
          <w:b/>
          <w:bCs/>
        </w:rPr>
        <w:t xml:space="preserve">Example 8 (Evaluating set and predicate indicators)</w:t>
      </w:r>
      <w:r>
        <w:t xml:space="preserve"> </w:t>
      </w:r>
      <w:r>
        <w:t xml:space="preserve">Consider the real line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set of nonnegative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continuous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(defined in the Morrison Lab’s probability notes).</w:t>
      </w:r>
    </w:p>
    <w:p>
      <w:pPr>
        <w:pStyle w:val="Compact"/>
        <w:numPr>
          <w:ilvl w:val="0"/>
          <w:numId w:val="1010"/>
        </w:numPr>
      </w:pPr>
      <w:r>
        <w:t xml:space="preserve">Set indicator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: since</w:t>
      </w:r>
      <w:r>
        <w:t xml:space="preserve"> </w:t>
      </w:r>
      <m:oMath>
        <m:r>
          <m:t>3.5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3.5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11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: since</w:t>
      </w:r>
      <w:r>
        <w:t xml:space="preserve"> </w:t>
      </w:r>
      <m:oMath>
        <m:r>
          <m:rPr>
            <m:sty m:val="p"/>
          </m:rPr>
          <m:t>−</m:t>
        </m:r>
        <m:r>
          <m:t>2.1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−</m:t>
        </m:r>
        <m:r>
          <m:t>2.1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7.2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7.2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7.2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12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4.1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4.1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4.1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6"/>
    <w:bookmarkStart w:id="57" w:name="def-binary-variable"/>
    <w:p>
      <w:pPr>
        <w:pStyle w:val="FirstParagraph"/>
      </w:pPr>
      <w:r>
        <w:rPr>
          <w:b/>
          <w:bCs/>
        </w:rPr>
        <w:t xml:space="preserve">Definition 11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variable that takes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57"/>
    <w:bookmarkStart w:id="58" w:name="exm-binary-variable"/>
    <w:p>
      <w:pPr>
        <w:pStyle w:val="BodyText"/>
      </w:pPr>
      <w:r>
        <w:rPr>
          <w:b/>
          <w:bCs/>
        </w:rPr>
        <w:t xml:space="preserve">Example 9 (A binary variable is an indicator)</w:t>
      </w:r>
      <w:r>
        <w:t xml:space="preserve"> </w:t>
      </w:r>
      <w:r>
        <w:t xml:space="preserve">In a study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people,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 and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binary variable (</w:t>
      </w:r>
      <w:hyperlink w:anchor="def-binary-variable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It is also the predicate indicator (</w:t>
      </w:r>
      <w:hyperlink w:anchor="def-indicator-func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smokes”</w:t>
      </w:r>
      <w:r>
        <w:t xml:space="preserve">: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nor/>
                <m:sty m:val="p"/>
              </m:rPr>
              <m:t>person </m:t>
            </m:r>
            <m:r>
              <m:t>i</m:t>
            </m:r>
            <m:r>
              <m:rPr>
                <m:nor/>
                <m:sty m:val="p"/>
              </m:rPr>
              <m:t> smokes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In the same way,</w:t>
      </w:r>
      <w:r>
        <w:t xml:space="preserve"> </w:t>
      </w:r>
      <w:r>
        <w:t xml:space="preserve">every indicator is a binary variable,</w:t>
      </w:r>
      <w:r>
        <w:t xml:space="preserve"> </w:t>
      </w:r>
      <w:r>
        <w:t xml:space="preserve">and every binary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indicator of its own value being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since both sides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8"/>
    <w:bookmarkStart w:id="68" w:name="X156504d913efc1f49ad7c2e43ace68824d2fb5d"/>
    <w:p>
      <w:pPr>
        <w:pStyle w:val="Heading3"/>
      </w:pPr>
      <w:r>
        <w:t xml:space="preserve">5.1 Two primary notational paradigms: set vs. predicate notation</w:t>
      </w:r>
    </w:p>
    <w:p>
      <w:pPr>
        <w:pStyle w:val="FirstParagraph"/>
      </w:pPr>
      <w:r>
        <w:t xml:space="preserve">The vast majority of indicator notations belong to one of two families:</w:t>
      </w:r>
      <w:r>
        <w:t xml:space="preserve"> </w:t>
      </w:r>
      <w:r>
        <w:t xml:space="preserve">set notation or predicate notation.</w:t>
      </w:r>
    </w:p>
    <w:bookmarkStart w:id="60" w:name="def-set-predicate-notation"/>
    <w:p>
      <w:pPr>
        <w:pStyle w:val="BodyText"/>
      </w:pPr>
      <w:r>
        <w:rPr>
          <w:b/>
          <w:bCs/>
        </w:rPr>
        <w:t xml:space="preserve">Definition 12 (Set notation and predicate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9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set notation</w:t>
      </w:r>
      <w:r>
        <w:t xml:space="preserve"> </w:t>
      </w:r>
      <w:r>
        <w:t xml:space="preserve">when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as a subscript,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</w:t>
      </w:r>
      <w:r>
        <w:t xml:space="preserve"> </w:t>
      </w:r>
      <w:r>
        <w:rPr>
          <w:b/>
          <w:bCs/>
        </w:rPr>
        <w:t xml:space="preserve">predicate notation</w:t>
      </w:r>
      <w:r>
        <w:t xml:space="preserve"> </w:t>
      </w:r>
      <w:r>
        <w:t xml:space="preserve">when a proposition or predicate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definition</w:t>
        </w:r>
      </w:hyperlink>
      <w:r>
        <w:t xml:space="preserve">) appears as its argument,</w:t>
      </w:r>
      <w:r>
        <w:t xml:space="preserve"> </w:t>
      </w:r>
      <w:r>
        <w:t xml:space="preserve">as in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</w:p>
    <w:bookmarkEnd w:id="60"/>
    <w:bookmarkStart w:id="61" w:name="exm-set-predicate-notation"/>
    <w:p>
      <w:pPr>
        <w:pStyle w:val="BodyText"/>
      </w:pPr>
      <w:r>
        <w:rPr>
          <w:b/>
          <w:bCs/>
        </w:rPr>
        <w:t xml:space="preserve">Example 10 (One indicator in both notations)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the nonnegative real numbers.</w:t>
      </w:r>
      <w:r>
        <w:t xml:space="preserve"> </w:t>
      </w:r>
      <w:r>
        <w:t xml:space="preserve">The indicator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set notation,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in predicate notation</w:t>
      </w:r>
      <w:r>
        <w:t xml:space="preserve"> </w:t>
      </w:r>
      <w:r>
        <w:t xml:space="preserve">(</w:t>
      </w:r>
      <w:hyperlink w:anchor="def-set-predicate-notation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, all three equal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, all three equal</w:t>
      </w:r>
      <w:r>
        <w:t xml:space="preserve"> </w:t>
      </w:r>
      <m:oMath>
        <m:r>
          <m:t>0</m:t>
        </m:r>
      </m:oMath>
      <w:r>
        <w:t xml:space="preserve">.</w:t>
      </w:r>
    </w:p>
    <w:bookmarkEnd w:id="61"/>
    <w:bookmarkStart w:id="62" w:name="set-notation"/>
    <w:p>
      <w:pPr>
        <w:pStyle w:val="Heading4"/>
      </w:pPr>
      <w:r>
        <w:t xml:space="preserve">Set notation</w:t>
      </w:r>
    </w:p>
    <w:p>
      <w:pPr>
        <w:pStyle w:val="FirstParagraph"/>
      </w:pPr>
      <w:r>
        <w:t xml:space="preserve">In set notation,</w:t>
      </w:r>
      <w:r>
        <w:t xml:space="preserve"> </w:t>
      </w:r>
      <w:r>
        <w:t xml:space="preserve">the indicator is tied to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appears as a subscript: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(bold numeral one)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numeral one)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(capital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rPr>
                <m:scr m:val="double-struck"/>
                <m:sty m:val="p"/>
              </m:rP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t>χ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(Greek letter chi, historically termed the</w:t>
      </w:r>
      <w:r>
        <w:t xml:space="preserve"> </w:t>
      </w:r>
      <w:r>
        <w:rPr>
          <w:i/>
          <w:iCs/>
        </w:rPr>
        <w:t xml:space="preserve">characteristic function</w:t>
      </w:r>
      <w:r>
        <w:t xml:space="preserve">)</w:t>
      </w:r>
    </w:p>
    <w:p>
      <w:pPr>
        <w:pStyle w:val="FirstParagraph"/>
      </w:pPr>
      <w:r>
        <w:t xml:space="preserve">When the function is viewed as a mathematical object in its own right</w:t>
      </w:r>
      <w:r>
        <w:t xml:space="preserve"> </w:t>
      </w:r>
      <w:r>
        <w:t xml:space="preserve">(for instance, as an element of 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space,</w:t>
      </w:r>
      <w:r>
        <w:t xml:space="preserve"> </w:t>
      </w:r>
      <w:r>
        <w:t xml:space="preserve">the set of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t>p</m:t>
            </m:r>
          </m:sup>
        </m:sSup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finite),</w:t>
      </w:r>
      <w:r>
        <w:t xml:space="preserve"> </w:t>
      </w:r>
      <w:r>
        <w:t xml:space="preserve">authors often omit the argument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 simply</w:t>
      </w:r>
      <w:r>
        <w:t xml:space="preserve"> </w:t>
      </w: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, or</w:t>
      </w:r>
      <w:r>
        <w:t xml:space="preserve"> </w:t>
      </w:r>
      <m:oMath>
        <m:sSub>
          <m:e>
            <m:r>
              <m:t>I</m:t>
            </m:r>
          </m:e>
          <m:sub>
            <m:r>
              <m:t>A</m:t>
            </m:r>
          </m:sub>
        </m:sSub>
      </m:oMath>
      <w:r>
        <w:t xml:space="preserve">.</w:t>
      </w:r>
    </w:p>
    <w:bookmarkEnd w:id="62"/>
    <w:bookmarkStart w:id="64" w:name="predicate-notation"/>
    <w:p>
      <w:pPr>
        <w:pStyle w:val="Heading4"/>
      </w:pPr>
      <w:r>
        <w:t xml:space="preserve">Predicate notation</w:t>
      </w:r>
    </w:p>
    <w:p>
      <w:pPr>
        <w:pStyle w:val="FirstParagraph"/>
      </w:pPr>
      <w:r>
        <w:t xml:space="preserve">In predicate notation,</w:t>
      </w:r>
      <w:r>
        <w:t xml:space="preserve"> </w:t>
      </w:r>
      <w:r>
        <w:t xml:space="preserve">the indicator takes a logical condition,</w:t>
      </w:r>
      <w:r>
        <w:t xml:space="preserve"> </w:t>
      </w:r>
      <w:r>
        <w:t xml:space="preserve">relation,</w:t>
      </w:r>
      <w:r>
        <w:t xml:space="preserve"> </w:t>
      </w:r>
      <w:r>
        <w:t xml:space="preserve">or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directly as its argument or subscript:</w:t>
      </w:r>
    </w:p>
    <w:p>
      <w:pPr>
        <w:pStyle w:val="Compact"/>
        <w:numPr>
          <w:ilvl w:val="0"/>
          <w:numId w:val="1014"/>
        </w:numPr>
      </w:pP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14"/>
        </w:numPr>
      </w:pP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14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14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P</m:t>
        </m:r>
        <m:r>
          <m:rPr>
            <m:sty m:val="p"/>
          </m:rPr>
          <m:t>}</m:t>
        </m:r>
      </m:oMath>
    </w:p>
    <w:p>
      <w:pPr>
        <w:pStyle w:val="Compact"/>
        <w:numPr>
          <w:ilvl w:val="0"/>
          <w:numId w:val="1014"/>
        </w:numPr>
      </w:pP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Predicate notation is especially common in applied statistics and survival analysis,</w:t>
      </w:r>
      <w:r>
        <w:t xml:space="preserve"> </w:t>
      </w:r>
      <w:r>
        <w:t xml:space="preserve">where indicators frequently depend on inequalities (</w:t>
      </w:r>
      <w:hyperlink r:id="rId63">
        <w:r>
          <w:rPr>
            <w:rStyle w:val="Hyperlink"/>
          </w:rPr>
          <w:t xml:space="preserve">definition</w:t>
        </w:r>
      </w:hyperlink>
      <w:r>
        <w:t xml:space="preserve">) involving random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T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(an event occurring before time</w:t>
      </w:r>
      <w:r>
        <w:t xml:space="preserve"> </w:t>
      </w:r>
      <m:oMath>
        <m:r>
          <m:t>t</m:t>
        </m:r>
      </m:oMath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(a binary outcome).</w:t>
      </w:r>
    </w:p>
    <w:bookmarkEnd w:id="64"/>
    <w:bookmarkStart w:id="67" w:name="equivalence-between-paradigms"/>
    <w:p>
      <w:pPr>
        <w:pStyle w:val="Heading4"/>
      </w:pPr>
      <w:r>
        <w:t xml:space="preserve">Equivalence between paradigms</w:t>
      </w:r>
    </w:p>
    <w:p>
      <w:pPr>
        <w:pStyle w:val="FirstParagraph"/>
      </w:pPr>
      <w:r>
        <w:t xml:space="preserve">The two paradigms are connected by evaluating the predicate indicator</w:t>
      </w:r>
      <w:r>
        <w:t xml:space="preserve"> </w:t>
      </w:r>
      <w:r>
        <w:t xml:space="preserve">at the membership statement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Start w:id="65" w:name="def-support"/>
    <w:p>
      <w:pPr>
        <w:pStyle w:val="FirstParagraph"/>
      </w:pPr>
      <w:r>
        <w:rPr>
          <w:b/>
          <w:bCs/>
        </w:rPr>
        <w:t xml:space="preserve">Definition 13 (Support of a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a discrete distribution</w:t>
      </w:r>
      <w:r>
        <w:t xml:space="preserve"> </w:t>
      </w:r>
      <w:r>
        <w:t xml:space="preserve">is the set of values it gives positive probability.</w:t>
      </w:r>
      <w:r>
        <w:t xml:space="preserve"> </w:t>
      </w:r>
      <w:r>
        <w:t xml:space="preserve">The support of a continuous distribution</w:t>
      </w:r>
      <w:r>
        <w:t xml:space="preserve"> </w:t>
      </w:r>
      <w:r>
        <w:t xml:space="preserve">is the set of values where its density is positive.</w:t>
      </w:r>
    </w:p>
    <w:bookmarkEnd w:id="65"/>
    <w:bookmarkStart w:id="66" w:name="exm-support"/>
    <w:p>
      <w:pPr>
        <w:pStyle w:val="BodyText"/>
      </w:pPr>
      <w:r>
        <w:rPr>
          <w:b/>
          <w:bCs/>
        </w:rPr>
        <w:t xml:space="preserve">Example 11 (Supports of two count distributions)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w:r>
        <w:t xml:space="preserve">A fair six-sided die gives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probability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other value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its support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A count that 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 so on,</w:t>
      </w:r>
      <w:r>
        <w:t xml:space="preserve"> </w:t>
      </w:r>
      <w:r>
        <w:t xml:space="preserve">each with positive probability,</w:t>
      </w:r>
      <w:r>
        <w:t xml:space="preserve"> </w:t>
      </w:r>
      <w:r>
        <w:t xml:space="preserve">such as the number of hospital visits in a year,</w:t>
      </w:r>
      <w:r>
        <w:t xml:space="preserve"> </w:t>
      </w:r>
      <w:r>
        <w:t xml:space="preserve">has support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66"/>
    <w:p>
      <w:pPr>
        <w:pStyle w:val="FirstParagraph"/>
      </w:pPr>
      <w:r>
        <w:t xml:space="preserve">Set notation is more natural when the underlying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 standard name</w:t>
      </w:r>
      <w:r>
        <w:t xml:space="preserve"> </w:t>
      </w:r>
      <w:r>
        <w:t xml:space="preserve">(such as the support of a distribution (</w:t>
      </w:r>
      <w:hyperlink w:anchor="def-support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or a geometric region).</w:t>
      </w:r>
      <w:r>
        <w:t xml:space="preserve"> </w:t>
      </w:r>
      <w:r>
        <w:t xml:space="preserve">Predicate notation is more natural when the condition involves compound inequalities,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.</w:t>
      </w:r>
    </w:p>
    <w:bookmarkEnd w:id="67"/>
    <w:bookmarkEnd w:id="68"/>
    <w:bookmarkStart w:id="75" w:name="iverson-bracket-notation"/>
    <w:p>
      <w:pPr>
        <w:pStyle w:val="Heading3"/>
      </w:pPr>
      <w:r>
        <w:t xml:space="preserve">5.2 Iverson bracket notation</w:t>
      </w:r>
    </w:p>
    <w:p>
      <w:pPr>
        <w:pStyle w:val="FirstParagraph"/>
      </w:pPr>
      <w:r>
        <w:t xml:space="preserve">In 1962,</w:t>
      </w:r>
      <w:r>
        <w:t xml:space="preserve"> </w:t>
      </w:r>
      <w:r>
        <w:t xml:space="preserve">Kenneth Iverson introduced a compact notation in the programming language APL,</w:t>
      </w:r>
      <w:r>
        <w:t xml:space="preserve"> </w:t>
      </w:r>
      <w:r>
        <w:t xml:space="preserve">later popularized in mathematics and computer science by Donald Knuth:</w:t>
      </w:r>
      <w:r>
        <w:t xml:space="preserve"> </w:t>
      </w:r>
      <w:r>
        <w:t xml:space="preserve">the</w:t>
      </w:r>
      <w:r>
        <w:t xml:space="preserve"> </w:t>
      </w:r>
      <w:hyperlink r:id="rId69">
        <w:r>
          <w:rPr>
            <w:rStyle w:val="Hyperlink"/>
          </w:rPr>
          <w:t xml:space="preserve">Iverson bracket</w:t>
        </w:r>
      </w:hyperlink>
      <w:r>
        <w:t xml:space="preserve">.</w:t>
      </w:r>
    </w:p>
    <w:bookmarkStart w:id="70" w:name="def-iverson-bracket"/>
    <w:p>
      <w:pPr>
        <w:pStyle w:val="BodyText"/>
      </w:pPr>
      <w:r>
        <w:rPr>
          <w:b/>
          <w:bCs/>
        </w:rPr>
        <w:t xml:space="preserve">Definition 14 (Iverson bracket)</w:t>
      </w:r>
      <w:r>
        <w:t xml:space="preserve"> </w:t>
      </w:r>
      <w:r>
        <w:t xml:space="preserve">For any logical proposition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Iverson bracket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P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70"/>
    <w:bookmarkStart w:id="71" w:name="exm-iverson-bracket"/>
    <w:p>
      <w:pPr>
        <w:pStyle w:val="FirstParagraph"/>
      </w:pPr>
      <w:r>
        <w:rPr>
          <w:b/>
          <w:bCs/>
        </w:rPr>
        <w:t xml:space="preserve">Example 12 (Evaluating Iverson brackets)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p"/>
          </m:rPr>
          <m:t>[</m:t>
        </m:r>
        <m:r>
          <m:t>3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p"/>
          </m:rPr>
          <m:t>[</m:t>
        </m:r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not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71"/>
    <w:bookmarkStart w:id="72" w:name="rem-iverson-indicator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Iverson bracket is the predicate indicator). </w:t>
      </w:r>
      <w:r>
        <w:t xml:space="preserve">The Iverson bracket</w:t>
      </w:r>
      <w:r>
        <w:t xml:space="preserve"> </w:t>
      </w:r>
      <m:oMath>
        <m:r>
          <m:rPr>
            <m:sty m:val="p"/>
          </m:rPr>
          <m:t>[</m:t>
        </m:r>
        <m:r>
          <m:t>P</m:t>
        </m:r>
        <m:r>
          <m:rPr>
            <m:sty m:val="p"/>
          </m:rPr>
          <m:t>]</m:t>
        </m:r>
      </m:oMath>
      <w:r>
        <w:t xml:space="preserve"> </w:t>
      </w:r>
      <w:r>
        <w:t xml:space="preserve">is the 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indicator-function">
        <w:r>
          <w:rPr>
            <w:rStyle w:val="Hyperlink"/>
          </w:rPr>
          <w:t xml:space="preserve">Definition 9</w:t>
        </w:r>
      </w:hyperlink>
      <w:r>
        <w:t xml:space="preserve">) in different notation.</w:t>
      </w:r>
      <w:r>
        <w:t xml:space="preserve"> </w:t>
      </w:r>
      <w:r>
        <w:t xml:space="preserve">Under this notation,</w:t>
      </w:r>
      <w:r>
        <w:t xml:space="preserve"> </w:t>
      </w:r>
      <w:r>
        <w:t xml:space="preserve">set membership is written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the values in</w:t>
      </w:r>
      <w:r>
        <w:t xml:space="preserve"> </w:t>
      </w:r>
      <w:hyperlink w:anchor="exm-indicator-numerical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become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t>7.2</m:t>
              </m:r>
              <m:r>
                <m:rPr>
                  <m:sty m:val="p"/>
                </m:rPr>
                <m:t>&gt;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7.2</m:t>
                  </m:r>
                  <m:r>
                    <m:rPr>
                      <m:sty m:val="p"/>
                    </m:rPr>
                    <m:t>&gt;</m:t>
                  </m:r>
                  <m:r>
                    <m:t>5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kronecker-delta"/>
    <w:p>
      <w:pPr>
        <w:pStyle w:val="FirstParagraph"/>
      </w:pPr>
      <w:r>
        <w:rPr>
          <w:b/>
          <w:bCs/>
        </w:rPr>
        <w:t xml:space="preserve">Definition 15 (Kronecker delta)</w:t>
      </w:r>
      <w:r>
        <w:t xml:space="preserve"> </w:t>
      </w:r>
      <w:r>
        <w:t xml:space="preserve">For integers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Kronecker delta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i</m:t>
          </m:r>
          <m:r>
            <m:rPr>
              <m:sty m:val="p"/>
            </m:rPr>
            <m:t>=</m:t>
          </m:r>
          <m:r>
            <m:t>j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(</w:t>
      </w:r>
      <w:hyperlink w:anchor="def-iverson-bracket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73"/>
    <w:bookmarkStart w:id="74" w:name="exm-kronecker-delta"/>
    <w:p>
      <w:pPr>
        <w:pStyle w:val="BodyText"/>
      </w:pPr>
      <w:r>
        <w:rPr>
          <w:b/>
          <w:bCs/>
        </w:rPr>
        <w:t xml:space="preserve">Example 13 (Evaluating the Kronecker delta)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4"/>
    <w:bookmarkEnd w:id="75"/>
    <w:bookmarkStart w:id="79" w:name="Xd6f58182005cccf55080a628cd9152d2b1165ed"/>
    <w:p>
      <w:pPr>
        <w:pStyle w:val="Heading3"/>
      </w:pPr>
      <w:r>
        <w:t xml:space="preserve">5.3 Strengths and limitations of the Iverson bracket</w:t>
      </w:r>
    </w:p>
    <w:p>
      <w:pPr>
        <w:pStyle w:val="FirstParagraph"/>
      </w:pPr>
      <w:r>
        <w:t xml:space="preserve">The primary advantage of the Iverson bracket is algebraic conciseness:</w:t>
      </w:r>
      <w:r>
        <w:t xml:space="preserve"> </w:t>
      </w:r>
      <w:r>
        <w:t xml:space="preserve">it turns a sum or integral over a subset</w:t>
      </w:r>
      <w:r>
        <w:t xml:space="preserve"> </w:t>
      </w:r>
      <w:r>
        <w:t xml:space="preserve">into a sum or integral over a larger, fixed set.</w:t>
      </w:r>
      <w:r>
        <w:t xml:space="preserve"> </w:t>
      </w: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</w:t>
      </w:r>
      <w:r>
        <w:t xml:space="preserve"> </w:t>
      </w:r>
      <w:hyperlink r:id="rId76">
        <w:r>
          <w:rPr>
            <w:rStyle w:val="Hyperlink"/>
          </w:rPr>
          <w:t xml:space="preserve">finite set</w:t>
        </w:r>
      </w:hyperlink>
      <w:r>
        <w:t xml:space="preserve"> </w:t>
      </w:r>
      <w:r>
        <w:t xml:space="preserve">that contains</w:t>
      </w:r>
      <w:r>
        <w:t xml:space="preserve"> </w:t>
      </w:r>
      <m:oMath>
        <m:r>
          <m:t>A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U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[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both sides equal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However,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square brackets are already heavily overloaded:</w:t>
      </w:r>
      <w:r>
        <w:t xml:space="preserve"> </w:t>
      </w:r>
      <w:r>
        <w:t xml:space="preserve">they denote</w:t>
      </w:r>
      <w:r>
        <w:t xml:space="preserve"> </w:t>
      </w:r>
      <w:hyperlink r:id="rId77">
        <w:r>
          <w:rPr>
            <w:rStyle w:val="Hyperlink"/>
          </w:rPr>
          <w:t xml:space="preserve">closed intervals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hyperlink r:id="rId78">
        <w:r>
          <w:rPr>
            <w:rStyle w:val="Hyperlink"/>
          </w:rPr>
          <w:t xml:space="preserve">conditional expectations</w:t>
        </w:r>
      </w:hyperlink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]</m:t>
        </m:r>
      </m:oMath>
      <w:r>
        <w:t xml:space="preserve"> </w:t>
      </w:r>
      <w:r>
        <w:t xml:space="preserve">(defined in the probability notes),</w:t>
      </w:r>
      <w:r>
        <w:t xml:space="preserve"> </w:t>
      </w:r>
      <w:r>
        <w:t xml:space="preserve">and matrix delimiters.</w:t>
      </w:r>
      <w:r>
        <w:t xml:space="preserve"> </w:t>
      </w:r>
      <w:r>
        <w:t xml:space="preserve">To prevent visual confusion with expectation brackets or intervals,</w:t>
      </w:r>
      <w:r>
        <w:t xml:space="preserve"> </w:t>
      </w:r>
      <w:r>
        <w:t xml:space="preserve">statistical literature predominantly uses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rather than the bare Iverson bracket.</w:t>
      </w:r>
    </w:p>
    <w:bookmarkEnd w:id="79"/>
    <w:bookmarkStart w:id="81" w:name="summary-of-indicator-notations"/>
    <w:p>
      <w:pPr>
        <w:pStyle w:val="Heading3"/>
      </w:pPr>
      <w:r>
        <w:t xml:space="preserve">5.4 Summary of indicator notations</w:t>
      </w:r>
    </w:p>
    <w:p>
      <w:pPr>
        <w:pStyle w:val="FirstParagraph"/>
      </w:pPr>
      <w:hyperlink w:anchor="tbl-indicator-notations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compares the major notations encountered across the literature.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tbl-indicator-notatio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Notations for indicator functions across mathematical and statistical literature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64"/>
              <w:gridCol w:w="1564"/>
              <w:gridCol w:w="1564"/>
              <w:gridCol w:w="322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Notation style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Typical syntax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Primary fields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Notes and potential ambiguities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Modern probability, mathematical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Unambiguous; distinct from matrices and scalars; standard in this book.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Bold numeral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ty m:val="b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Probability theory,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a vector of ones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Econometrics, machine learning,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Clear predicate notation; avoids confusion with numerals.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I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I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Classical statistics, epidemiology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the identity matrix</w:t>
                  </w:r>
                  <w:r>
                    <w:t xml:space="preserve"> </w:t>
                  </w:r>
                  <m:oMath>
                    <m:r>
                      <m:t>I</m:t>
                    </m:r>
                  </m:oMath>
                  <w:r>
                    <w:t xml:space="preserve"> </w:t>
                  </w:r>
                  <w:r>
                    <w:t xml:space="preserve">or the Fisher information</w:t>
                  </w:r>
                  <w:r>
                    <w:t xml:space="preserve"> </w:t>
                  </w: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, which measures how much a sample tells about a parameter.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Iverson bracket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[</m:t>
                    </m:r>
                    <m:r>
                      <m:t>P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Computer science, discrete mathematics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Very compact, but square brackets collide with intervals and expectation brackets.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Greek 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χ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χ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Real analysis,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Often termed</w:t>
                  </w:r>
                  <w:r>
                    <w:t xml:space="preserve"> </w:t>
                  </w:r>
                  <w:r>
                    <w:t xml:space="preserve">“characteristic function”</w:t>
                  </w:r>
                  <w:r>
                    <w:t xml:space="preserve">; in probability, that name instead means</w:t>
                  </w:r>
                  <w:r>
                    <w:t xml:space="preserve"> </w:t>
                  </w:r>
                  <m:oMath>
                    <m:r>
                      <m:t>t</m:t>
                    </m:r>
                    <m:r>
                      <m:rPr>
                        <m:sty m:val="p"/>
                      </m:rPr>
                      <m:t>↦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i</m:t>
                        </m:r>
                        <m:r>
                          <m:t>t</m:t>
                        </m:r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 </w:t>
                  </w:r>
                  <w:r>
                    <w:t xml:space="preserve">for a random variable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.</w:t>
                  </w:r>
                </w:p>
              </w:tc>
            </w:tr>
          </w:tbl>
          <w:bookmarkEnd w:id="80"/>
          <w:p/>
        </w:tc>
      </w:tr>
    </w:tbl>
    <w:bookmarkEnd w:id="81"/>
    <w:bookmarkStart w:id="82" w:name="conventions-in-this-book"/>
    <w:p>
      <w:pPr>
        <w:pStyle w:val="Heading3"/>
      </w:pPr>
      <w:r>
        <w:t xml:space="preserve">5.5 Conventions in this book</w:t>
      </w:r>
    </w:p>
    <w:p>
      <w:pPr>
        <w:pStyle w:val="FirstParagraph"/>
      </w:pPr>
      <w:r>
        <w:t xml:space="preserve">In these notes,</w:t>
      </w:r>
      <w:r>
        <w:t xml:space="preserve"> </w:t>
      </w:r>
      <w:r>
        <w:t xml:space="preserve">we standardize on 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via the macros defined in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\indic{A}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(set subscript)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\indicp{P}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parentheses)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\indiccb{P}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curly braces)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\1{P}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nor/>
                <m:sty m:val="p"/>
              </m:rPr>
              <m:t>1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(text numeral with subscript, used in legacy formulas)</w:t>
      </w:r>
    </w:p>
    <w:p>
      <w:pPr>
        <w:pStyle w:val="FirstParagraph"/>
      </w:pPr>
      <w:r>
        <w:t xml:space="preserve">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is preferred because it avoids all common collisions:</w:t>
      </w:r>
      <w:r>
        <w:t xml:space="preserve"> </w:t>
      </w:r>
      <w:r>
        <w:t xml:space="preserve">it is visually distinct from the scalar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identity matrix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 observed and expected Fisher information matrices (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).</w:t>
      </w:r>
    </w:p>
    <w:bookmarkEnd w:id="82"/>
    <w:bookmarkStart w:id="92" w:name="key-algebraic-properties"/>
    <w:p>
      <w:pPr>
        <w:pStyle w:val="Heading3"/>
      </w:pPr>
      <w:r>
        <w:t xml:space="preserve">5.6 Key algebraic properties</w:t>
      </w:r>
    </w:p>
    <w:p>
      <w:pPr>
        <w:pStyle w:val="FirstParagraph"/>
      </w:pPr>
      <w:r>
        <w:t xml:space="preserve">Indicator functions translate the logical connectives (</w:t>
      </w:r>
      <w:hyperlink r:id="rId9">
        <w:r>
          <w:rPr>
            <w:rStyle w:val="Hyperlink"/>
          </w:rPr>
          <w:t xml:space="preserve">definition</w:t>
        </w:r>
      </w:hyperlink>
      <w:r>
        <w:t xml:space="preserve">)</w:t>
      </w:r>
      <w:r>
        <w:t xml:space="preserve"> </w:t>
      </w:r>
      <w:r>
        <w:t xml:space="preserve">“and”</w:t>
      </w:r>
      <w:r>
        <w:t xml:space="preserve">,</w:t>
      </w:r>
      <w:r>
        <w:t xml:space="preserve"> </w:t>
      </w:r>
      <w:r>
        <w:t xml:space="preserve">“or”</w:t>
      </w:r>
      <w:r>
        <w:t xml:space="preserve">, and</w:t>
      </w:r>
      <w:r>
        <w:t xml:space="preserve"> </w:t>
      </w:r>
      <w:r>
        <w:t xml:space="preserve">“not”</w:t>
      </w:r>
      <w:r>
        <w:t xml:space="preserve">, applied to set membership,</w:t>
      </w:r>
      <w:r>
        <w:t xml:space="preserve"> </w:t>
      </w:r>
      <w:r>
        <w:t xml:space="preserve">into ordinary arithmetic on real numbers.</w:t>
      </w:r>
      <w:r>
        <w:t xml:space="preserve"> </w:t>
      </w:r>
      <w:r>
        <w:t xml:space="preserve">One of the identities below uses idempotence:</w:t>
      </w:r>
    </w:p>
    <w:bookmarkStart w:id="84" w:name="def-idempotent"/>
    <w:p>
      <w:pPr>
        <w:pStyle w:val="BodyText"/>
      </w:pPr>
      <w:r>
        <w:rPr>
          <w:b/>
          <w:bCs/>
        </w:rPr>
        <w:t xml:space="preserve">Definition 16 (Idempotent)</w:t>
      </w:r>
      <w:r>
        <w:t xml:space="preserve"> </w:t>
      </w:r>
      <w:r>
        <w:t xml:space="preserve">A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real values 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its</w:t>
      </w:r>
      <w:r>
        <w:t xml:space="preserve"> </w:t>
      </w:r>
      <w:hyperlink r:id="rId83">
        <w:r>
          <w:rPr>
            <w:rStyle w:val="Hyperlink"/>
          </w:rPr>
          <w:t xml:space="preserve">domain</w:t>
        </w:r>
      </w:hyperlink>
      <w:r>
        <w:t xml:space="preserve">.</w:t>
      </w:r>
    </w:p>
    <w:bookmarkEnd w:id="84"/>
    <w:bookmarkStart w:id="86" w:name="exm-idempotent-indicator"/>
    <w:p>
      <w:pPr>
        <w:pStyle w:val="BodyText"/>
      </w:pPr>
      <w:r>
        <w:rPr>
          <w:b/>
          <w:bCs/>
        </w:rPr>
        <w:t xml:space="preserve">Example 14 (Idempotent numbers and indicators)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idempotent: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19"/>
        </w:numPr>
      </w:pPr>
      <m:oMath>
        <m:r>
          <m:t>2</m:t>
        </m:r>
      </m:oMath>
      <w:r>
        <w:t xml:space="preserve"> </w:t>
      </w:r>
      <w:r>
        <w:t xml:space="preserve">is not idempotent: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.</w:t>
      </w:r>
    </w:p>
    <w:p>
      <w:pPr>
        <w:numPr>
          <w:ilvl w:val="0"/>
          <w:numId w:val="1019"/>
        </w:numPr>
      </w:pPr>
      <w:r>
        <w:t xml:space="preserve">Every indicator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idempotent,</w:t>
      </w:r>
      <w:r>
        <w:t xml:space="preserve"> </w:t>
      </w:r>
      <w:r>
        <w:t xml:space="preserve">because each of its values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85">
        <w:r>
          <w:rPr>
            <w:rStyle w:val="Hyperlink"/>
          </w:rPr>
          <w:t xml:space="preserve">idempotent matrices</w:t>
        </w:r>
      </w:hyperlink>
      <w:r>
        <w:t xml:space="preserve"> </w:t>
      </w:r>
      <w:r>
        <w:t xml:space="preserve">of linear algebra satisfy the same equation with matrix multiplication: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M</m:t>
        </m:r>
      </m:oMath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.</w:t>
      </w:r>
    </w:p>
    <w:bookmarkEnd w:id="86"/>
    <w:p>
      <w:pPr>
        <w:pStyle w:val="BodyText"/>
      </w:pPr>
      <w:r>
        <w:t xml:space="preserve">For subsets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87">
        <w:r>
          <w:rPr>
            <w:rStyle w:val="Hyperlink"/>
          </w:rPr>
          <w:t xml:space="preserve">complement</w:t>
        </w:r>
      </w:hyperlink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Ω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Ω</m:t>
        </m:r>
      </m:oMath>
      <w:r>
        <w:t xml:space="preserve">: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Intersection (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∩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20"/>
        </w:numPr>
      </w:pPr>
      <w:r>
        <w:rPr>
          <w:b/>
          <w:bCs/>
        </w:rPr>
        <w:t xml:space="preserve">Union (</w:t>
      </w:r>
      <w:r>
        <w:rPr>
          <w:b/>
          <w:bCs/>
        </w:rPr>
        <w:t xml:space="preserve">“or”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∪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20"/>
        </w:numPr>
      </w:pPr>
      <w:r>
        <w:rPr>
          <w:b/>
          <w:bCs/>
        </w:rPr>
        <w:t xml:space="preserve">Complement (</w:t>
      </w:r>
      <w:r>
        <w:rPr>
          <w:b/>
          <w:bCs/>
        </w:rPr>
        <w:t xml:space="preserve">“not”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20"/>
        </w:numPr>
      </w:pPr>
      <w:r>
        <w:rPr>
          <w:b/>
          <w:bCs/>
        </w:rPr>
        <w:t xml:space="preserve">Idempotence (</w:t>
      </w:r>
      <w:hyperlink w:anchor="def-idempotent">
        <w:r>
          <w:rPr>
            <w:rStyle w:val="Hyperlink"/>
            <w:b/>
            <w:bCs/>
          </w:rPr>
          <w:t xml:space="preserve">Definition 16</w:t>
        </w:r>
      </w:hyperlink>
      <w:r>
        <w:rPr>
          <w:b/>
          <w:bCs/>
        </w:rPr>
        <w:t xml:space="preserve">):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20"/>
        </w:numPr>
      </w:pPr>
      <w:r>
        <w:rPr>
          <w:b/>
          <w:bCs/>
        </w:rPr>
        <w:t xml:space="preserve">Expectation gives probability: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r:id="rId88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</w:t>
      </w:r>
      <w:r>
        <w:t xml:space="preserve"> </w:t>
      </w:r>
      <w:hyperlink r:id="rId89">
        <w:r>
          <w:rPr>
            <w:rStyle w:val="Hyperlink"/>
          </w:rPr>
          <w:t xml:space="preserve">event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its indicator is the</w:t>
      </w:r>
      <w:r>
        <w:t xml:space="preserve"> </w:t>
      </w:r>
      <w:hyperlink r:id="rId90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 event</w:t>
      </w:r>
      <w:r>
        <w:t xml:space="preserve"> </w:t>
      </w:r>
      <w:r>
        <w:t xml:space="preserve">(all four terms are defined in the Morrison Lab’s probability notes):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</w:t>
      </w:r>
      <w:r>
        <w:t xml:space="preserve"> </w:t>
      </w:r>
      <w:hyperlink r:id="rId91">
        <w:r>
          <w:rPr>
            <w:rStyle w:val="Hyperlink"/>
          </w:rPr>
          <w:t xml:space="preserve">identity</w:t>
        </w:r>
      </w:hyperlink>
      <w:r>
        <w:t xml:space="preserve"> </w:t>
      </w:r>
      <w:r>
        <w:t xml:space="preserve">turns probabilities into expectations.</w:t>
      </w:r>
      <w:r>
        <w:t xml:space="preserve"> </w:t>
      </w:r>
      <w:r>
        <w:t xml:space="preserve">It is the mathematical foundation for:</w:t>
      </w:r>
    </w:p>
    <w:p>
      <w:pPr>
        <w:pStyle w:val="Compact"/>
        <w:numPr>
          <w:ilvl w:val="0"/>
          <w:numId w:val="1021"/>
        </w:numPr>
      </w:pPr>
      <w:r>
        <w:t xml:space="preserve">empirical proportions;</w:t>
      </w:r>
    </w:p>
    <w:p>
      <w:pPr>
        <w:pStyle w:val="Compact"/>
        <w:numPr>
          <w:ilvl w:val="0"/>
          <w:numId w:val="1021"/>
        </w:numPr>
      </w:pPr>
      <w:r>
        <w:t xml:space="preserve">estimators of survival curves,</w:t>
      </w:r>
      <w:r>
        <w:t xml:space="preserve"> </w:t>
      </w:r>
      <w:r>
        <w:t xml:space="preserve">the probability of no event by each time;</w:t>
      </w:r>
    </w:p>
    <w:p>
      <w:pPr>
        <w:pStyle w:val="Compact"/>
        <w:numPr>
          <w:ilvl w:val="0"/>
          <w:numId w:val="1021"/>
        </w:numPr>
      </w:pPr>
      <w:r>
        <w:t xml:space="preserve">regression models for binary outcomes.</w:t>
      </w:r>
    </w:p>
    <w:bookmarkEnd w:id="92"/>
    <w:bookmarkEnd w:id="93"/>
    <w:bookmarkStart w:id="113" w:name="sec-notational-shorthands"/>
    <w:p>
      <w:pPr>
        <w:pStyle w:val="Heading2"/>
      </w:pPr>
      <w:r>
        <w:t xml:space="preserve">6 Notational shorthands</w:t>
      </w:r>
    </w:p>
    <w:bookmarkStart w:id="96" w:name="def-lower-upper-limits"/>
    <w:p>
      <w:pPr>
        <w:pStyle w:val="FirstParagraph"/>
      </w:pPr>
      <w:r>
        <w:rPr>
          <w:b/>
          <w:bCs/>
        </w:rPr>
        <w:t xml:space="preserve">Definition 17 (Lower and upper limits of a sum or integral)</w:t>
      </w:r>
      <w:r>
        <w:t xml:space="preserve"> </w:t>
      </w:r>
      <w:r>
        <w:t xml:space="preserve">In a</w:t>
      </w:r>
      <w:r>
        <w:t xml:space="preserve"> </w:t>
      </w:r>
      <w:hyperlink r:id="rId94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 last value.</w:t>
      </w:r>
      <w:r>
        <w:t xml:space="preserve"> </w:t>
      </w:r>
      <w:r>
        <w:t xml:space="preserve">In an</w:t>
      </w:r>
      <w:r>
        <w:t xml:space="preserve"> </w:t>
      </w:r>
      <w:hyperlink r:id="rId95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 right end;</w:t>
      </w:r>
      <w:r>
        <w:t xml:space="preserve"> </w:t>
      </w:r>
      <w:r>
        <w:t xml:space="preserve">together they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  <w:r>
        <w:t xml:space="preserve"> </w:t>
      </w:r>
      <w:r>
        <w:t xml:space="preserve">In both, the lower limit is written below the symbol</w:t>
      </w:r>
      <w:r>
        <w:t xml:space="preserve"> </w:t>
      </w:r>
      <w:r>
        <w:t xml:space="preserve">and the upper limit above it.</w:t>
      </w:r>
    </w:p>
    <w:bookmarkEnd w:id="96"/>
    <w:bookmarkStart w:id="97" w:name="exm-lower-upper-limits"/>
    <w:p>
      <w:pPr>
        <w:pStyle w:val="BodyText"/>
      </w:pPr>
      <w:r>
        <w:rPr>
          <w:b/>
          <w:bCs/>
        </w:rPr>
        <w:t xml:space="preserve">Example 15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97"/>
    <w:bookmarkStart w:id="100" w:name="rem-limits-two-meanings"/>
    <w:p>
      <w:pPr>
        <w:pStyle w:val="FirstParagraph"/>
      </w:pPr>
      <w:r>
        <w:rPr>
          <w:i/>
          <w:iCs/>
        </w:rPr>
        <w:t xml:space="preserve">Remark 3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98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r:id="rId99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00"/>
    <w:bookmarkStart w:id="101" w:name="def-notational-shorthand"/>
    <w:p>
      <w:pPr>
        <w:pStyle w:val="BodyText"/>
      </w:pPr>
      <w:r>
        <w:rPr>
          <w:b/>
          <w:bCs/>
        </w:rPr>
        <w:t xml:space="preserve">Definition 18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  <w:r>
        <w:t xml:space="preserve"> </w:t>
      </w:r>
      <w:r>
        <w:t xml:space="preserve">The expression with every part written out is its</w:t>
      </w:r>
      <w:r>
        <w:t xml:space="preserve"> </w:t>
      </w:r>
      <w:r>
        <w:rPr>
          <w:b/>
          <w:bCs/>
        </w:rPr>
        <w:t xml:space="preserve">full form</w:t>
      </w:r>
      <w:r>
        <w:t xml:space="preserve">.</w:t>
      </w:r>
    </w:p>
    <w:bookmarkEnd w:id="10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04" w:name="def-range-of-variable"/>
    <w:p>
      <w:pPr>
        <w:pStyle w:val="FirstParagraph"/>
      </w:pPr>
      <w:r>
        <w:rPr>
          <w:b/>
          <w:bCs/>
        </w:rPr>
        <w:t xml:space="preserve">Definition 19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04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105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10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07">
        <w:r>
          <w:rPr>
            <w:rStyle w:val="Hyperlink"/>
          </w:rPr>
          <w:t xml:space="preserve">Image and 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105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9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r:id="rId108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r:id="rId94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09"/>
          <w:p/>
        </w:tc>
      </w:tr>
    </w:tbl>
    <w:bookmarkStart w:id="111" w:name="rem-indefinite-integral-not-shorthand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10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111"/>
    <w:bookmarkStart w:id="112" w:name="exm-expand-index-shorthand"/>
    <w:p>
      <w:pPr>
        <w:pStyle w:val="BodyText"/>
      </w:pPr>
      <w:r>
        <w:rPr>
          <w:b/>
          <w:bCs/>
        </w:rPr>
        <w:t xml:space="preserve">Example 16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12"/>
    <w:bookmarkEnd w:id="113"/>
    <w:bookmarkStart w:id="120" w:name="X93a3d4ef5e06a67ae6b891e46b41b74b3674f55"/>
    <w:p>
      <w:pPr>
        <w:pStyle w:val="Heading2"/>
      </w:pPr>
      <w:r>
        <w:t xml:space="preserve">7 Why is notation in probability and statistics so inconsistent and disorganized?</w:t>
      </w:r>
    </w:p>
    <w:p>
      <w:pPr>
        <w:pStyle w:val="FirstParagraph"/>
      </w:pPr>
      <w:r>
        <w:t xml:space="preserve">In grad school,</w:t>
      </w:r>
      <w:r>
        <w:t xml:space="preserve"> </w:t>
      </w:r>
      <w:r>
        <w:t xml:space="preserve">we are asked to learn</w:t>
      </w:r>
      <w:r>
        <w:t xml:space="preserve"> </w:t>
      </w:r>
      <w:r>
        <w:t xml:space="preserve">from increasingly disorganized materials and lectures.</w:t>
      </w:r>
      <w:r>
        <w:t xml:space="preserve"> </w:t>
      </w:r>
      <w:r>
        <w:t xml:space="preserve">Not coincidentally,</w:t>
      </w:r>
      <w:r>
        <w:t xml:space="preserve"> </w:t>
      </w:r>
      <w:r>
        <w:t xml:space="preserve">as the amount of organization decreases,</w:t>
      </w:r>
      <w:r>
        <w:t xml:space="preserve"> </w:t>
      </w:r>
      <w:r>
        <w:t xml:space="preserve">the amount of complexity increases,</w:t>
      </w:r>
      <w:r>
        <w:t xml:space="preserve"> </w:t>
      </w:r>
      <w:r>
        <w:t xml:space="preserve">the amount of difficulty increases,</w:t>
      </w:r>
      <w:r>
        <w:t xml:space="preserve"> </w:t>
      </w:r>
      <w:r>
        <w:t xml:space="preserve">the number of reliable references decreases,</w:t>
      </w:r>
      <w:r>
        <w:t xml:space="preserve"> </w:t>
      </w:r>
      <w:r>
        <w:t xml:space="preserve">and the amount of inconsistency in notation and content increases</w:t>
      </w:r>
      <w:r>
        <w:t xml:space="preserve"> </w:t>
      </w:r>
      <w:r>
        <w:t xml:space="preserve">(both between multiple references and within single references!).</w:t>
      </w:r>
      <w:r>
        <w:t xml:space="preserve"> </w:t>
      </w:r>
      <w:r>
        <w:t xml:space="preserve">In other words,</w:t>
      </w:r>
      <w:r>
        <w:t xml:space="preserve"> </w:t>
      </w:r>
      <w:r>
        <w:t xml:space="preserve">as you approach the cutting-edge of most fields,</w:t>
      </w:r>
      <w:r>
        <w:t xml:space="preserve"> </w:t>
      </w:r>
      <w:r>
        <w:t xml:space="preserve">you start to run into content</w:t>
      </w:r>
      <w:r>
        <w:t xml:space="preserve"> </w:t>
      </w:r>
      <w:r>
        <w:t xml:space="preserve">that hasn’t been fully thought through or standardized.</w:t>
      </w:r>
      <w:r>
        <w:t xml:space="preserve"> </w:t>
      </w:r>
      <w:r>
        <w:t xml:space="preserve">This lack of clarity</w:t>
      </w:r>
      <w:r>
        <w:t xml:space="preserve"> </w:t>
      </w:r>
      <w:r>
        <w:t xml:space="preserve">is unfortunate and undesirable,</w:t>
      </w:r>
      <w:r>
        <w:t xml:space="preserve"> </w:t>
      </w:r>
      <w:r>
        <w:t xml:space="preserve">but it is understandable and inevitable.</w:t>
      </w:r>
    </w:p>
    <w:p>
      <w:pPr>
        <w:pStyle w:val="BodyText"/>
      </w:pPr>
      <w:r>
        <w:t xml:space="preserve">It’s worth noting</w:t>
      </w:r>
      <w:r>
        <w:t xml:space="preserve"> </w:t>
      </w:r>
      <w:r>
        <w:t xml:space="preserve">that calculus was formalized in the</w:t>
      </w:r>
      <w:r>
        <w:t xml:space="preserve"> </w:t>
      </w:r>
      <w:hyperlink r:id="rId114">
        <w:r>
          <w:rPr>
            <w:rStyle w:val="Hyperlink"/>
          </w:rPr>
          <w:t xml:space="preserve">1600s</w:t>
        </w:r>
      </w:hyperlink>
      <w:r>
        <w:t xml:space="preserve">,</w:t>
      </w:r>
      <w:r>
        <w:t xml:space="preserve"> </w:t>
      </w:r>
      <w:r>
        <w:t xml:space="preserve">elementary algebra was formalized around</w:t>
      </w:r>
      <w:r>
        <w:t xml:space="preserve"> </w:t>
      </w:r>
      <w:hyperlink r:id="rId115">
        <w:r>
          <w:rPr>
            <w:rStyle w:val="Hyperlink"/>
          </w:rPr>
          <w:t xml:space="preserve">820</w:t>
        </w:r>
      </w:hyperlink>
      <w:r>
        <w:t xml:space="preserve">,</w:t>
      </w:r>
      <w:r>
        <w:t xml:space="preserve"> </w:t>
      </w:r>
      <w:r>
        <w:t xml:space="preserve">and arithmetic</w:t>
      </w:r>
      <w:r>
        <w:t xml:space="preserve"> </w:t>
      </w:r>
      <w:hyperlink r:id="rId116">
        <w:r>
          <w:rPr>
            <w:rStyle w:val="Hyperlink"/>
          </w:rPr>
          <w:t xml:space="preserve">even earlier</w:t>
        </w:r>
      </w:hyperlink>
      <w:r>
        <w:t xml:space="preserve">.</w:t>
      </w:r>
      <w:r>
        <w:t xml:space="preserve"> </w:t>
      </w:r>
      <w:r>
        <w:t xml:space="preserve">And calculus still has</w:t>
      </w:r>
      <w:r>
        <w:t xml:space="preserve"> </w:t>
      </w:r>
      <w:hyperlink r:id="rId117">
        <w:r>
          <w:rPr>
            <w:rStyle w:val="Hyperlink"/>
          </w:rPr>
          <w:t xml:space="preserve">several competing notation systems</w:t>
        </w:r>
      </w:hyperlink>
      <w:r>
        <w:t xml:space="preserve">.</w:t>
      </w:r>
      <w:r>
        <w:t xml:space="preserve"> </w:t>
      </w:r>
      <w:r>
        <w:t xml:space="preserve">In contrast, the field of statistics only emerged in the</w:t>
      </w:r>
      <w:r>
        <w:t xml:space="preserve"> </w:t>
      </w:r>
      <w:hyperlink r:id="rId118">
        <w:r>
          <w:rPr>
            <w:rStyle w:val="Hyperlink"/>
          </w:rPr>
          <w:t xml:space="preserve">late 1800s and early 1900s</w:t>
        </w:r>
      </w:hyperlink>
      <w:r>
        <w:t xml:space="preserve">,</w:t>
      </w:r>
      <w:r>
        <w:t xml:space="preserve"> </w:t>
      </w:r>
      <w:r>
        <w:t xml:space="preserve">so it’s not surprising that the notation and terminology is still developing.</w:t>
      </w:r>
      <w:r>
        <w:t xml:space="preserve"> </w:t>
      </w:r>
      <w:r>
        <w:t xml:space="preserve">Generalized linear models were only formalized in 1972</w:t>
      </w:r>
      <w:r>
        <w:t xml:space="preserve"> </w:t>
      </w:r>
      <w:r>
        <w:t xml:space="preserve">(Nelder and Wedderburn 1972)</w:t>
      </w:r>
      <w:r>
        <w:t xml:space="preserve">,</w:t>
      </w:r>
      <w:r>
        <w:t xml:space="preserve"> </w:t>
      </w:r>
      <w:r>
        <w:t xml:space="preserve">which is very recent in terms of the</w:t>
      </w:r>
      <w:r>
        <w:t xml:space="preserve"> </w:t>
      </w:r>
      <w:hyperlink r:id="rId119">
        <w:r>
          <w:rPr>
            <w:rStyle w:val="Hyperlink"/>
          </w:rPr>
          <w:t xml:space="preserve">pace of scientific development</w:t>
        </w:r>
      </w:hyperlink>
      <w:r>
        <w:t xml:space="preserve">.</w:t>
      </w:r>
    </w:p>
    <w:bookmarkEnd w:id="120"/>
    <w:bookmarkStart w:id="123" w:name="sec-further-reading"/>
    <w:p>
      <w:pPr>
        <w:pStyle w:val="Heading2"/>
      </w:pPr>
      <w:r>
        <w:t xml:space="preserve">8 Further reading</w:t>
      </w:r>
    </w:p>
    <w:p>
      <w:pPr>
        <w:pStyle w:val="FirstParagraph"/>
      </w:pPr>
      <w:r>
        <w:t xml:space="preserve">For the logical symbols and proof conventions used in these notes</w:t>
      </w:r>
      <w:r>
        <w:t xml:space="preserve"> </w:t>
      </w:r>
      <w:r>
        <w:t xml:space="preserve">(whose definitions are on the</w:t>
      </w:r>
      <w:r>
        <w:t xml:space="preserve"> </w:t>
      </w:r>
      <w:hyperlink r:id="rId121">
        <w:r>
          <w:rPr>
            <w:rStyle w:val="Hyperlink"/>
          </w:rPr>
          <w:t xml:space="preserve">Proof Writing</w:t>
        </w:r>
      </w:hyperlink>
      <w:r>
        <w:t xml:space="preserve"> </w:t>
      </w:r>
      <w:r>
        <w:t xml:space="preserve">page):</w:t>
      </w:r>
    </w:p>
    <w:p>
      <w:pPr>
        <w:pStyle w:val="Compact"/>
        <w:numPr>
          <w:ilvl w:val="0"/>
          <w:numId w:val="1024"/>
        </w:numPr>
      </w:pPr>
      <w:r>
        <w:t xml:space="preserve">Velleman (2019)</w:t>
      </w:r>
      <w:r>
        <w:t xml:space="preserve"> </w:t>
      </w:r>
      <w:r>
        <w:t xml:space="preserve">explains how mathematical statements are built from</w:t>
      </w:r>
      <w:r>
        <w:t xml:space="preserve"> </w:t>
      </w:r>
      <w:r>
        <w:t xml:space="preserve">logical connectives (</w:t>
      </w:r>
      <w:hyperlink r:id="rId9">
        <w:r>
          <w:rPr>
            <w:rStyle w:val="Hyperlink"/>
          </w:rPr>
          <w:t xml:space="preserve">definition</w:t>
        </w:r>
      </w:hyperlink>
      <w:r>
        <w:t xml:space="preserve">) and quantifiers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how to read and write them.</w:t>
      </w:r>
    </w:p>
    <w:p>
      <w:pPr>
        <w:pStyle w:val="Compact"/>
        <w:numPr>
          <w:ilvl w:val="0"/>
          <w:numId w:val="1024"/>
        </w:numPr>
      </w:pPr>
      <w:r>
        <w:t xml:space="preserve">Barker-Plummer et al. (2011)</w:t>
      </w:r>
      <w:r>
        <w:t xml:space="preserve"> </w:t>
      </w:r>
      <w:r>
        <w:t xml:space="preserve">covers the same symbols as a formal language,</w:t>
      </w:r>
      <w:r>
        <w:t xml:space="preserve"> </w:t>
      </w:r>
      <w:r>
        <w:t xml:space="preserve">with propositional logic (the logic of connectives)</w:t>
      </w:r>
      <w:r>
        <w:t xml:space="preserve"> </w:t>
      </w:r>
      <w:r>
        <w:t xml:space="preserve">and first-order logic (which adds quantifiers).</w:t>
      </w:r>
    </w:p>
    <w:p>
      <w:pPr>
        <w:pStyle w:val="FirstParagraph"/>
      </w:pPr>
      <w:r>
        <w:t xml:space="preserve">For set and function notation, see the</w:t>
      </w:r>
      <w:r>
        <w:t xml:space="preserve"> </w:t>
      </w:r>
      <w:hyperlink r:id="rId122">
        <w:r>
          <w:rPr>
            <w:rStyle w:val="Hyperlink"/>
          </w:rPr>
          <w:t xml:space="preserve">Sets and Functions</w:t>
        </w:r>
      </w:hyperlink>
      <w:r>
        <w:t xml:space="preserve"> </w:t>
      </w:r>
      <w:r>
        <w:t xml:space="preserve">page.</w:t>
      </w:r>
    </w:p>
    <w:bookmarkEnd w:id="123"/>
    <w:bookmarkStart w:id="132" w:name="references"/>
    <w:p>
      <w:pPr>
        <w:pStyle w:val="Heading2"/>
      </w:pPr>
      <w:r>
        <w:t xml:space="preserve">References</w:t>
      </w:r>
    </w:p>
    <w:bookmarkStart w:id="131" w:name="refs"/>
    <w:bookmarkStart w:id="125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124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125"/>
    <w:bookmarkStart w:id="127" w:name="ref-nelder1972generalized"/>
    <w:p>
      <w:pPr>
        <w:pStyle w:val="Bibliography"/>
      </w:pPr>
      <w:r>
        <w:t xml:space="preserve">Nelder, John Ashworth, and Robert WM Wedderburn. 1972.</w:t>
      </w:r>
      <w:r>
        <w:t xml:space="preserve"> </w:t>
      </w:r>
      <w:r>
        <w:t xml:space="preserve">“Generalized Linear Models.”</w:t>
      </w:r>
      <w:r>
        <w:t xml:space="preserve"> </w:t>
      </w:r>
      <w:r>
        <w:rPr>
          <w:i/>
          <w:iCs/>
        </w:rPr>
        <w:t xml:space="preserve">Journal of the Royal Statistical Society Series A: Statistics in Society</w:t>
      </w:r>
      <w:r>
        <w:t xml:space="preserve"> </w:t>
      </w:r>
      <w:r>
        <w:t xml:space="preserve">135 (3): 370–84.</w:t>
      </w:r>
      <w:r>
        <w:t xml:space="preserve"> </w:t>
      </w:r>
      <w:hyperlink r:id="rId126">
        <w:r>
          <w:rPr>
            <w:rStyle w:val="Hyperlink"/>
          </w:rPr>
          <w:t xml:space="preserve">https://doi.org/10.2307/2344614</w:t>
        </w:r>
      </w:hyperlink>
      <w:r>
        <w:t xml:space="preserve">.</w:t>
      </w:r>
    </w:p>
    <w:bookmarkEnd w:id="127"/>
    <w:bookmarkStart w:id="128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28"/>
    <w:bookmarkStart w:id="130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129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130"/>
    <w:bookmarkEnd w:id="131"/>
    <w:bookmarkEnd w:id="1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depending on whether it is applied to a matrix or a function</w:t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 generalized linear model (GLM) is a regression model</w:t>
      </w:r>
      <w:r>
        <w:t xml:space="preserve"> </w:t>
      </w:r>
      <w:r>
        <w:t xml:space="preserve">in which a chosen function</w:t>
      </w:r>
      <w:r>
        <w:t xml:space="preserve"> </w:t>
      </w:r>
      <m:oMath>
        <m:r>
          <m:t>g</m:t>
        </m:r>
      </m:oMath>
      <w:r>
        <w:t xml:space="preserve">, the link function,</w:t>
      </w:r>
      <w:r>
        <w:t xml:space="preserve"> </w:t>
      </w:r>
      <w:r>
        <w:t xml:space="preserve">of the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outcome</w:t>
      </w:r>
      <w:r>
        <w:t xml:space="preserve"> </w:t>
      </w:r>
      <w:r>
        <w:t xml:space="preserve">equals the linear predictor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β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21">
        <w:r>
          <w:rPr>
            <w:rStyle w:val="Hyperlink"/>
          </w:rPr>
          <w:t xml:space="preserve">linear combination</w:t>
        </w:r>
      </w:hyperlink>
      <w:r>
        <w:t xml:space="preserve"> </w:t>
      </w:r>
      <w:r>
        <w:t xml:space="preserve">of the predictor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β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η</m:t>
        </m:r>
      </m:oMath>
      <w:r>
        <w:t xml:space="preserve">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4" Target="media/rId34.png" /><Relationship Type="http://schemas.openxmlformats.org/officeDocument/2006/relationships/hyperlink" Id="rId91" Target="algebra-basics.html#def-identity" TargetMode="External" /><Relationship Type="http://schemas.openxmlformats.org/officeDocument/2006/relationships/hyperlink" Id="rId45" Target="algebra-basics.html#def-square-root" TargetMode="External" /><Relationship Type="http://schemas.openxmlformats.org/officeDocument/2006/relationships/hyperlink" Id="rId99" Target="algebra-exponentials.html#def-sequence-limit" TargetMode="External" /><Relationship Type="http://schemas.openxmlformats.org/officeDocument/2006/relationships/hyperlink" Id="rId108" Target="algebra-sums.html#def-sum-over-set" TargetMode="External" /><Relationship Type="http://schemas.openxmlformats.org/officeDocument/2006/relationships/hyperlink" Id="rId94" Target="algebra-sums.html#def-summation" TargetMode="External" /><Relationship Type="http://schemas.openxmlformats.org/officeDocument/2006/relationships/hyperlink" Id="rId12" Target="algebra-sums.html#sec-summation" TargetMode="External" /><Relationship Type="http://schemas.openxmlformats.org/officeDocument/2006/relationships/hyperlink" Id="rId15" Target="calculus-derivatives.html#def-derivative" TargetMode="External" /><Relationship Type="http://schemas.openxmlformats.org/officeDocument/2006/relationships/hyperlink" Id="rId98" Target="calculus-derivatives.html#def-limit" TargetMode="External" /><Relationship Type="http://schemas.openxmlformats.org/officeDocument/2006/relationships/hyperlink" Id="rId110" Target="calculus-integration.html#def-indefinite-integral" TargetMode="External" /><Relationship Type="http://schemas.openxmlformats.org/officeDocument/2006/relationships/hyperlink" Id="rId95" Target="calculus-integration.html#def-riemann-integral" TargetMode="External" /><Relationship Type="http://schemas.openxmlformats.org/officeDocument/2006/relationships/hyperlink" Id="rId129" Target="https://doi.org/10.1017/9781108539890" TargetMode="External" /><Relationship Type="http://schemas.openxmlformats.org/officeDocument/2006/relationships/hyperlink" Id="rId126" Target="https://doi.org/10.2307/2344614" TargetMode="External" /><Relationship Type="http://schemas.openxmlformats.org/officeDocument/2006/relationships/hyperlink" Id="rId37" Target="https://en.wikipedia.org/w/index.php?title=Natural_number&amp;oldid=1375965996" TargetMode="External" /><Relationship Type="http://schemas.openxmlformats.org/officeDocument/2006/relationships/hyperlink" Id="rId115" Target="https://en.wikipedia.org/wiki/Al-Jabr" TargetMode="External" /><Relationship Type="http://schemas.openxmlformats.org/officeDocument/2006/relationships/hyperlink" Id="rId116" Target="https://en.wikipedia.org/wiki/Arithmetic#History" TargetMode="External" /><Relationship Type="http://schemas.openxmlformats.org/officeDocument/2006/relationships/hyperlink" Id="rId19" Target="https://en.wikipedia.org/wiki/Generalized_linear_model#:~:text=The%20linear%20predictor%20is%20the,data%20through%20the%20link%20function" TargetMode="External" /><Relationship Type="http://schemas.openxmlformats.org/officeDocument/2006/relationships/hyperlink" Id="rId118" Target="https://en.wikipedia.org/wiki/History_of_statistics#Development_of_modern_statistics" TargetMode="External" /><Relationship Type="http://schemas.openxmlformats.org/officeDocument/2006/relationships/hyperlink" Id="rId69" Target="https://en.wikipedia.org/wiki/Iverson_bracket" TargetMode="External" /><Relationship Type="http://schemas.openxmlformats.org/officeDocument/2006/relationships/hyperlink" Id="rId114" Target="https://en.wikipedia.org/wiki/Leibniz%27s_notation" TargetMode="External" /><Relationship Type="http://schemas.openxmlformats.org/officeDocument/2006/relationships/hyperlink" Id="rId117" Target="https://en.wikipedia.org/wiki/Notation_for_differentiation" TargetMode="External" /><Relationship Type="http://schemas.openxmlformats.org/officeDocument/2006/relationships/hyperlink" Id="rId50" Target="https://en.wikipedia.org/wiki/Percentage" TargetMode="External" /><Relationship Type="http://schemas.openxmlformats.org/officeDocument/2006/relationships/hyperlink" Id="rId47" Target="https://en.wikipedia.org/wiki/Proof_that_%CF%80_is_irrational" TargetMode="External" /><Relationship Type="http://schemas.openxmlformats.org/officeDocument/2006/relationships/hyperlink" Id="rId46" Target="https://en.wikipedia.org/wiki/Square_root_of_2" TargetMode="External" /><Relationship Type="http://schemas.openxmlformats.org/officeDocument/2006/relationships/hyperlink" Id="rId119" Target="https://en.wikipedia.org/wiki/The_Structure_of_Scientific_Revolutions" TargetMode="External" /><Relationship Type="http://schemas.openxmlformats.org/officeDocument/2006/relationships/hyperlink" Id="rId78" Target="https://morrison-lab.github.io/pds/expectation.html#def-cond-expectation" TargetMode="External" /><Relationship Type="http://schemas.openxmlformats.org/officeDocument/2006/relationships/hyperlink" Id="rId14" Target="https://morrison-lab.github.io/pds/expectation.html#def-expectation" TargetMode="External" /><Relationship Type="http://schemas.openxmlformats.org/officeDocument/2006/relationships/hyperlink" Id="rId17" Target="https://morrison-lab.github.io/pds/independence.html#def-indpt" TargetMode="External" /><Relationship Type="http://schemas.openxmlformats.org/officeDocument/2006/relationships/hyperlink" Id="rId11" Target="https://morrison-lab.github.io/pds/probability-basics.html#def-conditional-prob" TargetMode="External" /><Relationship Type="http://schemas.openxmlformats.org/officeDocument/2006/relationships/hyperlink" Id="rId89" Target="https://morrison-lab.github.io/pds/probability-basics.html#def-event" TargetMode="External" /><Relationship Type="http://schemas.openxmlformats.org/officeDocument/2006/relationships/hyperlink" Id="rId90" Target="https://morrison-lab.github.io/pds/probability-basics.html#def-probability" TargetMode="External" /><Relationship Type="http://schemas.openxmlformats.org/officeDocument/2006/relationships/hyperlink" Id="rId88" Target="https://morrison-lab.github.io/pds/probability-basics.html#def-sample-space" TargetMode="External" /><Relationship Type="http://schemas.openxmlformats.org/officeDocument/2006/relationships/hyperlink" Id="rId13" Target="https://morrison-lab.github.io/pds/random-variables.html#def-random-variable" TargetMode="External" /><Relationship Type="http://schemas.openxmlformats.org/officeDocument/2006/relationships/hyperlink" Id="rId23" Target="https://quarto.org/docs/authoring/markdown-basics.html#equations" TargetMode="External" /><Relationship Type="http://schemas.openxmlformats.org/officeDocument/2006/relationships/hyperlink" Id="rId124" Target="https://www.amazon.com/dp/1575866323" TargetMode="External" /><Relationship Type="http://schemas.openxmlformats.org/officeDocument/2006/relationships/hyperlink" Id="rId85" Target="linear-algebra-special-matrices.html#def-idempotent-matrix" TargetMode="External" /><Relationship Type="http://schemas.openxmlformats.org/officeDocument/2006/relationships/hyperlink" Id="rId21" Target="linear-algebra-vectors.html#def-linear-combination" TargetMode="External" /><Relationship Type="http://schemas.openxmlformats.org/officeDocument/2006/relationships/hyperlink" Id="rId63" Target="proof-writing.qmd#def-inequality" TargetMode="External" /><Relationship Type="http://schemas.openxmlformats.org/officeDocument/2006/relationships/hyperlink" Id="rId9" Target="proof-writing.qmd#def-logical-connective" TargetMode="External" /><Relationship Type="http://schemas.openxmlformats.org/officeDocument/2006/relationships/hyperlink" Id="rId18" Target="proof-writing.qmd#def-logical-entailment" TargetMode="External" /><Relationship Type="http://schemas.openxmlformats.org/officeDocument/2006/relationships/hyperlink" Id="rId59" Target="proof-writing.qmd#def-predicate" TargetMode="External" /><Relationship Type="http://schemas.openxmlformats.org/officeDocument/2006/relationships/hyperlink" Id="rId10" Target="proof-writing.qmd#def-quantifier" TargetMode="External" /><Relationship Type="http://schemas.openxmlformats.org/officeDocument/2006/relationships/hyperlink" Id="rId121" Target="proof-writing.qmd#sec-proof-definitions" TargetMode="External" /><Relationship Type="http://schemas.openxmlformats.org/officeDocument/2006/relationships/hyperlink" Id="rId122" Target="sets-functions.qmd" TargetMode="External" /><Relationship Type="http://schemas.openxmlformats.org/officeDocument/2006/relationships/hyperlink" Id="rId87" Target="sets-functions.qmd#def-complement" TargetMode="External" /><Relationship Type="http://schemas.openxmlformats.org/officeDocument/2006/relationships/hyperlink" Id="rId83" Target="sets-functions.qmd#def-domain" TargetMode="External" /><Relationship Type="http://schemas.openxmlformats.org/officeDocument/2006/relationships/hyperlink" Id="rId76" Target="sets-functions.qmd#def-finite-set" TargetMode="External" /><Relationship Type="http://schemas.openxmlformats.org/officeDocument/2006/relationships/hyperlink" Id="rId105" Target="sets-functions.qmd#def-function" TargetMode="External" /><Relationship Type="http://schemas.openxmlformats.org/officeDocument/2006/relationships/hyperlink" Id="rId106" Target="sets-functions.qmd#def-image" TargetMode="External" /><Relationship Type="http://schemas.openxmlformats.org/officeDocument/2006/relationships/hyperlink" Id="rId77" Target="sets-functions.qmd#def-interval" TargetMode="External" /><Relationship Type="http://schemas.openxmlformats.org/officeDocument/2006/relationships/hyperlink" Id="rId107" Target="sets-functions.qmd#rem-image-rang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1" Target="algebra-basics.html#def-identity" TargetMode="External" /><Relationship Type="http://schemas.openxmlformats.org/officeDocument/2006/relationships/hyperlink" Id="rId45" Target="algebra-basics.html#def-square-root" TargetMode="External" /><Relationship Type="http://schemas.openxmlformats.org/officeDocument/2006/relationships/hyperlink" Id="rId99" Target="algebra-exponentials.html#def-sequence-limit" TargetMode="External" /><Relationship Type="http://schemas.openxmlformats.org/officeDocument/2006/relationships/hyperlink" Id="rId108" Target="algebra-sums.html#def-sum-over-set" TargetMode="External" /><Relationship Type="http://schemas.openxmlformats.org/officeDocument/2006/relationships/hyperlink" Id="rId94" Target="algebra-sums.html#def-summation" TargetMode="External" /><Relationship Type="http://schemas.openxmlformats.org/officeDocument/2006/relationships/hyperlink" Id="rId12" Target="algebra-sums.html#sec-summation" TargetMode="External" /><Relationship Type="http://schemas.openxmlformats.org/officeDocument/2006/relationships/hyperlink" Id="rId15" Target="calculus-derivatives.html#def-derivative" TargetMode="External" /><Relationship Type="http://schemas.openxmlformats.org/officeDocument/2006/relationships/hyperlink" Id="rId98" Target="calculus-derivatives.html#def-limit" TargetMode="External" /><Relationship Type="http://schemas.openxmlformats.org/officeDocument/2006/relationships/hyperlink" Id="rId110" Target="calculus-integration.html#def-indefinite-integral" TargetMode="External" /><Relationship Type="http://schemas.openxmlformats.org/officeDocument/2006/relationships/hyperlink" Id="rId95" Target="calculus-integration.html#def-riemann-integral" TargetMode="External" /><Relationship Type="http://schemas.openxmlformats.org/officeDocument/2006/relationships/hyperlink" Id="rId129" Target="https://doi.org/10.1017/9781108539890" TargetMode="External" /><Relationship Type="http://schemas.openxmlformats.org/officeDocument/2006/relationships/hyperlink" Id="rId126" Target="https://doi.org/10.2307/2344614" TargetMode="External" /><Relationship Type="http://schemas.openxmlformats.org/officeDocument/2006/relationships/hyperlink" Id="rId37" Target="https://en.wikipedia.org/w/index.php?title=Natural_number&amp;oldid=1375965996" TargetMode="External" /><Relationship Type="http://schemas.openxmlformats.org/officeDocument/2006/relationships/hyperlink" Id="rId115" Target="https://en.wikipedia.org/wiki/Al-Jabr" TargetMode="External" /><Relationship Type="http://schemas.openxmlformats.org/officeDocument/2006/relationships/hyperlink" Id="rId116" Target="https://en.wikipedia.org/wiki/Arithmetic#History" TargetMode="External" /><Relationship Type="http://schemas.openxmlformats.org/officeDocument/2006/relationships/hyperlink" Id="rId19" Target="https://en.wikipedia.org/wiki/Generalized_linear_model#:~:text=The%20linear%20predictor%20is%20the,data%20through%20the%20link%20function" TargetMode="External" /><Relationship Type="http://schemas.openxmlformats.org/officeDocument/2006/relationships/hyperlink" Id="rId118" Target="https://en.wikipedia.org/wiki/History_of_statistics#Development_of_modern_statistics" TargetMode="External" /><Relationship Type="http://schemas.openxmlformats.org/officeDocument/2006/relationships/hyperlink" Id="rId69" Target="https://en.wikipedia.org/wiki/Iverson_bracket" TargetMode="External" /><Relationship Type="http://schemas.openxmlformats.org/officeDocument/2006/relationships/hyperlink" Id="rId114" Target="https://en.wikipedia.org/wiki/Leibniz%27s_notation" TargetMode="External" /><Relationship Type="http://schemas.openxmlformats.org/officeDocument/2006/relationships/hyperlink" Id="rId117" Target="https://en.wikipedia.org/wiki/Notation_for_differentiation" TargetMode="External" /><Relationship Type="http://schemas.openxmlformats.org/officeDocument/2006/relationships/hyperlink" Id="rId50" Target="https://en.wikipedia.org/wiki/Percentage" TargetMode="External" /><Relationship Type="http://schemas.openxmlformats.org/officeDocument/2006/relationships/hyperlink" Id="rId47" Target="https://en.wikipedia.org/wiki/Proof_that_%CF%80_is_irrational" TargetMode="External" /><Relationship Type="http://schemas.openxmlformats.org/officeDocument/2006/relationships/hyperlink" Id="rId46" Target="https://en.wikipedia.org/wiki/Square_root_of_2" TargetMode="External" /><Relationship Type="http://schemas.openxmlformats.org/officeDocument/2006/relationships/hyperlink" Id="rId119" Target="https://en.wikipedia.org/wiki/The_Structure_of_Scientific_Revolutions" TargetMode="External" /><Relationship Type="http://schemas.openxmlformats.org/officeDocument/2006/relationships/hyperlink" Id="rId78" Target="https://morrison-lab.github.io/pds/expectation.html#def-cond-expectation" TargetMode="External" /><Relationship Type="http://schemas.openxmlformats.org/officeDocument/2006/relationships/hyperlink" Id="rId14" Target="https://morrison-lab.github.io/pds/expectation.html#def-expectation" TargetMode="External" /><Relationship Type="http://schemas.openxmlformats.org/officeDocument/2006/relationships/hyperlink" Id="rId17" Target="https://morrison-lab.github.io/pds/independence.html#def-indpt" TargetMode="External" /><Relationship Type="http://schemas.openxmlformats.org/officeDocument/2006/relationships/hyperlink" Id="rId11" Target="https://morrison-lab.github.io/pds/probability-basics.html#def-conditional-prob" TargetMode="External" /><Relationship Type="http://schemas.openxmlformats.org/officeDocument/2006/relationships/hyperlink" Id="rId89" Target="https://morrison-lab.github.io/pds/probability-basics.html#def-event" TargetMode="External" /><Relationship Type="http://schemas.openxmlformats.org/officeDocument/2006/relationships/hyperlink" Id="rId90" Target="https://morrison-lab.github.io/pds/probability-basics.html#def-probability" TargetMode="External" /><Relationship Type="http://schemas.openxmlformats.org/officeDocument/2006/relationships/hyperlink" Id="rId88" Target="https://morrison-lab.github.io/pds/probability-basics.html#def-sample-space" TargetMode="External" /><Relationship Type="http://schemas.openxmlformats.org/officeDocument/2006/relationships/hyperlink" Id="rId13" Target="https://morrison-lab.github.io/pds/random-variables.html#def-random-variable" TargetMode="External" /><Relationship Type="http://schemas.openxmlformats.org/officeDocument/2006/relationships/hyperlink" Id="rId23" Target="https://quarto.org/docs/authoring/markdown-basics.html#equations" TargetMode="External" /><Relationship Type="http://schemas.openxmlformats.org/officeDocument/2006/relationships/hyperlink" Id="rId124" Target="https://www.amazon.com/dp/1575866323" TargetMode="External" /><Relationship Type="http://schemas.openxmlformats.org/officeDocument/2006/relationships/hyperlink" Id="rId85" Target="linear-algebra-special-matrices.html#def-idempotent-matrix" TargetMode="External" /><Relationship Type="http://schemas.openxmlformats.org/officeDocument/2006/relationships/hyperlink" Id="rId21" Target="linear-algebra-vectors.html#def-linear-combination" TargetMode="External" /><Relationship Type="http://schemas.openxmlformats.org/officeDocument/2006/relationships/hyperlink" Id="rId63" Target="proof-writing.qmd#def-inequality" TargetMode="External" /><Relationship Type="http://schemas.openxmlformats.org/officeDocument/2006/relationships/hyperlink" Id="rId9" Target="proof-writing.qmd#def-logical-connective" TargetMode="External" /><Relationship Type="http://schemas.openxmlformats.org/officeDocument/2006/relationships/hyperlink" Id="rId18" Target="proof-writing.qmd#def-logical-entailment" TargetMode="External" /><Relationship Type="http://schemas.openxmlformats.org/officeDocument/2006/relationships/hyperlink" Id="rId59" Target="proof-writing.qmd#def-predicate" TargetMode="External" /><Relationship Type="http://schemas.openxmlformats.org/officeDocument/2006/relationships/hyperlink" Id="rId10" Target="proof-writing.qmd#def-quantifier" TargetMode="External" /><Relationship Type="http://schemas.openxmlformats.org/officeDocument/2006/relationships/hyperlink" Id="rId121" Target="proof-writing.qmd#sec-proof-definitions" TargetMode="External" /><Relationship Type="http://schemas.openxmlformats.org/officeDocument/2006/relationships/hyperlink" Id="rId122" Target="sets-functions.qmd" TargetMode="External" /><Relationship Type="http://schemas.openxmlformats.org/officeDocument/2006/relationships/hyperlink" Id="rId87" Target="sets-functions.qmd#def-complement" TargetMode="External" /><Relationship Type="http://schemas.openxmlformats.org/officeDocument/2006/relationships/hyperlink" Id="rId83" Target="sets-functions.qmd#def-domain" TargetMode="External" /><Relationship Type="http://schemas.openxmlformats.org/officeDocument/2006/relationships/hyperlink" Id="rId76" Target="sets-functions.qmd#def-finite-set" TargetMode="External" /><Relationship Type="http://schemas.openxmlformats.org/officeDocument/2006/relationships/hyperlink" Id="rId105" Target="sets-functions.qmd#def-function" TargetMode="External" /><Relationship Type="http://schemas.openxmlformats.org/officeDocument/2006/relationships/hyperlink" Id="rId106" Target="sets-functions.qmd#def-image" TargetMode="External" /><Relationship Type="http://schemas.openxmlformats.org/officeDocument/2006/relationships/hyperlink" Id="rId77" Target="sets-functions.qmd#def-interval" TargetMode="External" /><Relationship Type="http://schemas.openxmlformats.org/officeDocument/2006/relationships/hyperlink" Id="rId107" Target="sets-functions.qmd#rem-image-rang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2026-10-15T10:30:03Z</dcterms:created>
  <dcterms:modified xsi:type="dcterms:W3CDTF">2026-10-15T10:30:03Z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02:47:39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