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15:14:37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31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3" w:name="exm-maximum"/>
    <w:p>
      <w:pPr>
        <w:pStyle w:val="BodyText"/>
      </w:pPr>
      <w:r>
        <w:rPr>
          <w:b/>
          <w:bCs/>
        </w:rPr>
        <w:t xml:space="preserve">Example 1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23"/>
    <w:bookmarkStart w:id="25" w:name="def-argmin"/>
    <w:p>
      <w:pPr>
        <w:pStyle w:val="FirstParagraph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Start w:id="2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7"/>
    <w:bookmarkStart w:id="28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exm-argmax"/>
    <w:p>
      <w:pPr>
        <w:pStyle w:val="BodyText"/>
      </w:pPr>
      <w:r>
        <w:rPr>
          <w:b/>
          <w:bCs/>
        </w:rPr>
        <w:t xml:space="preserve">Example 2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1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30"/>
    <w:bookmarkEnd w:id="31"/>
    <w:bookmarkStart w:id="40" w:name="sec-minimizers"/>
    <w:p>
      <w:pPr>
        <w:pStyle w:val="Heading2"/>
      </w:pPr>
      <w:r>
        <w:t xml:space="preserve">4 Global and local minimizers</w:t>
      </w:r>
    </w:p>
    <w:bookmarkStart w:id="3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32"/>
    <w:bookmarkStart w:id="3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4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4"/>
    <w:bookmarkStart w:id="3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5"/>
    <w:bookmarkStart w:id="37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7"/>
    <w:bookmarkStart w:id="38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8"/>
    <w:bookmarkStart w:id="39" w:name="exm-not-local-minimizer"/>
    <w:p>
      <w:pPr>
        <w:pStyle w:val="BodyText"/>
      </w:pPr>
      <w:r>
        <w:rPr>
          <w:b/>
          <w:bCs/>
        </w:rPr>
        <w:t xml:space="preserve">Example 3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End w:id="40"/>
    <w:bookmarkStart w:id="48" w:name="sec-convexity"/>
    <w:p>
      <w:pPr>
        <w:pStyle w:val="Heading2"/>
      </w:pPr>
      <w:r>
        <w:t xml:space="preserve">5 Convex functions</w:t>
      </w:r>
    </w:p>
    <w:bookmarkStart w:id="41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41"/>
    <w:bookmarkStart w:id="4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42"/>
    <w:bookmarkStart w:id="43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3"/>
    <w:bookmarkStart w:id="44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4"/>
    <w:bookmarkStart w:id="45" w:name="exm-cubic-not-convex"/>
    <w:p>
      <w:pPr>
        <w:pStyle w:val="BodyText"/>
      </w:pPr>
      <w:r>
        <w:rPr>
          <w:b/>
          <w:bCs/>
        </w:rPr>
        <w:t xml:space="preserve">Example 4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5"/>
    <w:bookmarkStart w:id="46" w:name="exm-convex-local-global"/>
    <w:p>
      <w:pPr>
        <w:pStyle w:val="BodyText"/>
      </w:pPr>
      <w:r>
        <w:rPr>
          <w:b/>
          <w:bCs/>
        </w:rPr>
        <w:t xml:space="preserve">Example 5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6"/>
    <w:bookmarkStart w:id="47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8"/>
    <w:bookmarkStart w:id="55" w:name="infimum-and-supremum"/>
    <w:p>
      <w:pPr>
        <w:pStyle w:val="Heading2"/>
      </w:pPr>
      <w:r>
        <w:t xml:space="preserve">6 Infimum and supremum</w:t>
      </w:r>
    </w:p>
    <w:bookmarkStart w:id="49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9"/>
    <w:bookmarkStart w:id="50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50"/>
    <w:bookmarkStart w:id="51" w:name="exm-infimum"/>
    <w:p>
      <w:pPr>
        <w:pStyle w:val="BodyText"/>
      </w:pPr>
      <w:r>
        <w:rPr>
          <w:b/>
          <w:bCs/>
        </w:rPr>
        <w:t xml:space="preserve">Example 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51"/>
    <w:bookmarkStart w:id="52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52"/>
    <w:bookmarkStart w:id="53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53"/>
    <w:bookmarkStart w:id="54" w:name="exm-supremum"/>
    <w:p>
      <w:pPr>
        <w:pStyle w:val="BodyText"/>
      </w:pPr>
      <w:r>
        <w:rPr>
          <w:b/>
          <w:bCs/>
        </w:rPr>
        <w:t xml:space="preserve">Example 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4"/>
    <w:bookmarkEnd w:id="55"/>
    <w:bookmarkStart w:id="60" w:name="sums"/>
    <w:p>
      <w:pPr>
        <w:pStyle w:val="Heading2"/>
      </w:pPr>
      <w:r>
        <w:t xml:space="preserve">7 Sums</w:t>
      </w:r>
    </w:p>
    <w:bookmarkStart w:id="56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6"/>
    <w:bookmarkStart w:id="57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7"/>
    <w:bookmarkStart w:id="58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8"/>
    <w:bookmarkStart w:id="59" w:name="exm-sum-assoc"/>
    <w:p>
      <w:pPr>
        <w:pStyle w:val="FirstParagraph"/>
      </w:pPr>
      <w:r>
        <w:rPr>
          <w:b/>
          <w:bCs/>
        </w:rPr>
        <w:t xml:space="preserve">Example 8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9"/>
    <w:bookmarkEnd w:id="60"/>
    <w:bookmarkStart w:id="64" w:name="products"/>
    <w:p>
      <w:pPr>
        <w:pStyle w:val="Heading2"/>
      </w:pPr>
      <w:r>
        <w:t xml:space="preserve">8 Products</w:t>
      </w:r>
    </w:p>
    <w:bookmarkStart w:id="61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1"/>
    <w:bookmarkStart w:id="62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2"/>
    <w:bookmarkStart w:id="63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3"/>
    <w:bookmarkEnd w:id="64"/>
    <w:bookmarkStart w:id="66" w:name="division"/>
    <w:p>
      <w:pPr>
        <w:pStyle w:val="Heading2"/>
      </w:pPr>
      <w:r>
        <w:t xml:space="preserve">9 Division</w:t>
      </w:r>
    </w:p>
    <w:bookmarkStart w:id="65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5"/>
    <w:bookmarkEnd w:id="66"/>
    <w:bookmarkStart w:id="72" w:name="sums-and-products-together"/>
    <w:p>
      <w:pPr>
        <w:pStyle w:val="Heading2"/>
      </w:pPr>
      <w:r>
        <w:t xml:space="preserve">10 Sums and products together</w:t>
      </w:r>
    </w:p>
    <w:bookmarkStart w:id="67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8"/>
    <w:bookmarkStart w:id="6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9"/>
    <w:bookmarkStart w:id="70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71"/>
    <w:bookmarkEnd w:id="72"/>
    <w:bookmarkStart w:id="90" w:name="sec-summation"/>
    <w:p>
      <w:pPr>
        <w:pStyle w:val="Heading2"/>
      </w:pPr>
      <w:r>
        <w:t xml:space="preserve">11 Summation notation</w:t>
      </w:r>
    </w:p>
    <w:bookmarkStart w:id="7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1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1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3"/>
    <w:bookmarkStart w:id="7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4"/>
    <w:bookmarkStart w:id="75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5"/>
    <w:bookmarkStart w:id="7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6"/>
    <w:bookmarkStart w:id="77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8"/>
    <w:bookmarkStart w:id="7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9"/>
    <w:bookmarkStart w:id="80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81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8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5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2"/>
    <w:bookmarkStart w:id="8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3"/>
    <w:bookmarkStart w:id="85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6"/>
    <w:bookmarkStart w:id="89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9"/>
    <w:bookmarkEnd w:id="90"/>
    <w:bookmarkStart w:id="107" w:name="quotients"/>
    <w:p>
      <w:pPr>
        <w:pStyle w:val="Heading2"/>
      </w:pPr>
      <w:r>
        <w:t xml:space="preserve">12 Quotients</w:t>
      </w:r>
    </w:p>
    <w:bookmarkStart w:id="91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1"/>
    <w:bookmarkStart w:id="92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2"/>
    <w:bookmarkStart w:id="93" w:name="exm-quotient"/>
    <w:p>
      <w:pPr>
        <w:pStyle w:val="BodyText"/>
      </w:pPr>
      <w:r>
        <w:rPr>
          <w:b/>
          <w:bCs/>
        </w:rPr>
        <w:t xml:space="preserve">Example 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93"/>
    <w:bookmarkStart w:id="94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4"/>
    <w:p>
      <w:pPr>
        <w:pStyle w:val="BodyText"/>
      </w:pPr>
      <w:r>
        <w:t xml:space="preserve">cf. </w:t>
      </w:r>
      <w:hyperlink r:id="rId95">
        <w:r>
          <w:rPr>
            <w:rStyle w:val="Hyperlink"/>
          </w:rPr>
          <w:t xml:space="preserve">https://en.wikipedia.org/wiki/Rate_(mathematics)</w:t>
        </w:r>
      </w:hyperlink>
    </w:p>
    <w:bookmarkStart w:id="97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6">
        <w:r>
          <w:rPr>
            <w:rStyle w:val="Hyperlink"/>
          </w:rPr>
          <w:t xml:space="preserve">https://en.wikipedia.org/wiki/Ratio</w:t>
        </w:r>
      </w:hyperlink>
    </w:p>
    <w:bookmarkEnd w:id="97"/>
    <w:bookmarkStart w:id="98" w:name="exm-ratio"/>
    <w:p>
      <w:pPr>
        <w:pStyle w:val="BodyText"/>
      </w:pPr>
      <w:r>
        <w:rPr>
          <w:b/>
          <w:bCs/>
        </w:rPr>
        <w:t xml:space="preserve">Example 10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7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98"/>
    <w:bookmarkStart w:id="101" w:name="def-proportion"/>
    <w:p>
      <w:pPr>
        <w:pStyle w:val="FirstParagraph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1"/>
    <w:bookmarkStart w:id="102" w:name="exm-proportion"/>
    <w:p>
      <w:pPr>
        <w:pStyle w:val="BodyText"/>
      </w:pPr>
      <w:r>
        <w:rPr>
          <w:b/>
          <w:bCs/>
        </w:rPr>
        <w:t xml:space="preserve">Example 11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8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8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2"/>
    <w:bookmarkStart w:id="104" w:name="def-proportional"/>
    <w:p>
      <w:pPr>
        <w:pStyle w:val="FirstParagraph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4"/>
    <w:bookmarkStart w:id="105" w:name="exm-proportional"/>
    <w:p>
      <w:pPr>
        <w:pStyle w:val="BodyText"/>
      </w:pPr>
      <w:r>
        <w:rPr>
          <w:b/>
          <w:bCs/>
        </w:rPr>
        <w:t xml:space="preserve">Example 12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0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7"/>
    <w:bookmarkStart w:id="116" w:name="sec-polynomials"/>
    <w:p>
      <w:pPr>
        <w:pStyle w:val="Heading2"/>
      </w:pPr>
      <w:r>
        <w:t xml:space="preserve">13 Polynomials</w:t>
      </w:r>
    </w:p>
    <w:bookmarkStart w:id="10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8"/>
    <w:bookmarkStart w:id="10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9"/>
    <w:bookmarkStart w:id="110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10"/>
    <w:bookmarkStart w:id="111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11"/>
    <w:bookmarkStart w:id="112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m-polynomial-degree"/>
    <w:p>
      <w:pPr>
        <w:pStyle w:val="BodyText"/>
      </w:pPr>
      <w:r>
        <w:rPr>
          <w:b/>
          <w:bCs/>
        </w:rPr>
        <w:t xml:space="preserve">Example 13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22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13"/>
    <w:bookmarkStart w:id="114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5" w:name="exm-leading-coefficient"/>
    <w:p>
      <w:pPr>
        <w:pStyle w:val="BodyText"/>
      </w:pPr>
      <w:r>
        <w:rPr>
          <w:b/>
          <w:bCs/>
        </w:rPr>
        <w:t xml:space="preserve">Example 14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15"/>
    <w:bookmarkEnd w:id="116"/>
    <w:bookmarkStart w:id="135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7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7"/>
    <w:bookmarkStart w:id="118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8"/>
    <w:bookmarkStart w:id="11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20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20"/>
    <w:bookmarkStart w:id="121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21"/>
    <w:bookmarkStart w:id="12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22"/>
    <w:bookmarkStart w:id="12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23"/>
    <w:bookmarkStart w:id="12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24"/>
    <w:bookmarkStart w:id="125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25"/>
    <w:bookmarkStart w:id="126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26"/>
    <w:bookmarkStart w:id="12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7"/>
    <w:bookmarkStart w:id="128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8"/>
    <w:bookmarkStart w:id="13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30"/>
        </w:tc>
      </w:tr>
    </w:tbl>
    <w:bookmarkEnd w:id="131"/>
    <w:bookmarkStart w:id="132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2"/>
    <w:bookmarkStart w:id="134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3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4"/>
    <w:bookmarkEnd w:id="135"/>
    <w:bookmarkStart w:id="149" w:name="sec-complex-numbers"/>
    <w:p>
      <w:pPr>
        <w:pStyle w:val="Heading2"/>
      </w:pPr>
      <w:r>
        <w:t xml:space="preserve">15 Complex numbers</w:t>
      </w:r>
    </w:p>
    <w:bookmarkStart w:id="136" w:name="def-imaginary-unit"/>
    <w:p>
      <w:pPr>
        <w:pStyle w:val="FirstParagraph"/>
      </w:pPr>
      <w:r>
        <w:rPr>
          <w:b/>
          <w:bCs/>
        </w:rPr>
        <w:t xml:space="preserve">Definition 22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2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commutative;</w:t>
      </w:r>
    </w:p>
    <w:p>
      <w:pPr>
        <w:pStyle w:val="Compact"/>
        <w:numPr>
          <w:ilvl w:val="0"/>
          <w:numId w:val="102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 associative;</w:t>
      </w:r>
    </w:p>
    <w:p>
      <w:pPr>
        <w:pStyle w:val="Compact"/>
        <w:numPr>
          <w:ilvl w:val="0"/>
          <w:numId w:val="1028"/>
        </w:numPr>
      </w:pPr>
      <w:r>
        <w:t xml:space="preserve">multiplication distributes 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13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7" w:name="exm-imaginary-unit-powers"/>
    <w:p>
      <w:pPr>
        <w:pStyle w:val="BodyText"/>
      </w:pPr>
      <w:r>
        <w:rPr>
          <w:b/>
          <w:bCs/>
        </w:rPr>
        <w:t xml:space="preserve">Example 18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7"/>
    <w:bookmarkStart w:id="138" w:name="exm-no-real-imaginary-unit"/>
    <w:p>
      <w:pPr>
        <w:pStyle w:val="BodyText"/>
      </w:pPr>
      <w:r>
        <w:rPr>
          <w:b/>
          <w:bCs/>
        </w:rPr>
        <w:t xml:space="preserve">Example 19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introduces a new number to solve it.</w:t>
      </w:r>
    </w:p>
    <w:bookmarkEnd w:id="138"/>
    <w:bookmarkStart w:id="139" w:name="def-complex-number"/>
    <w:p>
      <w:pPr>
        <w:pStyle w:val="BodyText"/>
      </w:pPr>
      <w:r>
        <w:rPr>
          <w:b/>
          <w:bCs/>
        </w:rPr>
        <w:t xml:space="preserve">Definition 23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13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40" w:name="exm-complex-number"/>
    <w:p>
      <w:pPr>
        <w:pStyle w:val="BodyText"/>
      </w:pPr>
      <w:r>
        <w:rPr>
          <w:b/>
          <w:bCs/>
        </w:rPr>
        <w:t xml:space="preserve">Example 20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40"/>
    <w:bookmarkStart w:id="141" w:name="thm-complex-arithmetic"/>
    <w:p>
      <w:pPr>
        <w:pStyle w:val="BodyText"/>
      </w:pPr>
      <w:r>
        <w:rPr>
          <w:b/>
          <w:bCs/>
        </w:rPr>
        <w:t xml:space="preserve">Theorem 24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142" w:name="exm-complex-arithmetic"/>
    <w:p>
      <w:pPr>
        <w:pStyle w:val="BodyText"/>
      </w:pPr>
      <w:r>
        <w:rPr>
          <w:b/>
          <w:bCs/>
        </w:rPr>
        <w:t xml:space="preserve">Example 21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24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2"/>
    <w:bookmarkStart w:id="143" w:name="def-complex-conjugate"/>
    <w:p>
      <w:pPr>
        <w:pStyle w:val="BodyText"/>
      </w:pPr>
      <w:r>
        <w:rPr>
          <w:b/>
          <w:bCs/>
        </w:rPr>
        <w:t xml:space="preserve">Definition 24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143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144" w:name="exm-complex-conjugate"/>
    <w:p>
      <w:pPr>
        <w:pStyle w:val="BodyText"/>
      </w:pPr>
      <w:r>
        <w:rPr>
          <w:b/>
          <w:bCs/>
        </w:rPr>
        <w:t xml:space="preserve">Example 22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144"/>
    <w:bookmarkStart w:id="145" w:name="def-complex-modulus"/>
    <w:p>
      <w:pPr>
        <w:pStyle w:val="FirstParagraph"/>
      </w:pPr>
      <w:r>
        <w:rPr>
          <w:b/>
          <w:bCs/>
        </w:rPr>
        <w:t xml:space="preserve">Definition 25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146" w:name="exm-complex-modulus"/>
    <w:p>
      <w:pPr>
        <w:pStyle w:val="BodyText"/>
      </w:pPr>
      <w:r>
        <w:rPr>
          <w:b/>
          <w:bCs/>
        </w:rPr>
        <w:t xml:space="preserve">Example 23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46"/>
    <w:bookmarkStart w:id="147" w:name="thm-conj-product"/>
    <w:p>
      <w:pPr>
        <w:pStyle w:val="FirstParagraph"/>
      </w:pPr>
      <w:r>
        <w:rPr>
          <w:b/>
          <w:bCs/>
        </w:rPr>
        <w:t xml:space="preserve">Theorem 25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148" w:name="exm-conj-product"/>
    <w:p>
      <w:pPr>
        <w:pStyle w:val="BodyText"/>
      </w:pPr>
      <w:r>
        <w:rPr>
          <w:b/>
          <w:bCs/>
        </w:rPr>
        <w:t xml:space="preserve">Example 24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23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says.</w:t>
      </w:r>
    </w:p>
    <w:bookmarkEnd w:id="148"/>
    <w:bookmarkEnd w:id="149"/>
    <w:bookmarkStart w:id="150" w:name="sec-further-reading"/>
    <w:p>
      <w:pPr>
        <w:pStyle w:val="Heading2"/>
      </w:pPr>
      <w:r>
        <w:t xml:space="preserve">16 Further reading</w:t>
      </w:r>
    </w:p>
    <w:p>
      <w:pPr>
        <w:pStyle w:val="Compact"/>
        <w:numPr>
          <w:ilvl w:val="0"/>
          <w:numId w:val="103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3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50"/>
    <w:bookmarkStart w:id="157" w:name="references"/>
    <w:p>
      <w:pPr>
        <w:pStyle w:val="Heading2"/>
      </w:pPr>
      <w:r>
        <w:t xml:space="preserve">References</w:t>
      </w:r>
    </w:p>
    <w:bookmarkStart w:id="156" w:name="refs"/>
    <w:bookmarkStart w:id="152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51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52"/>
    <w:bookmarkStart w:id="15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54"/>
    <w:bookmarkStart w:id="15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3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51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3" Target="https://doi.org/10.1007/978-3-031-41026-0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9" Target="https://en.wikipedia.org/wiki/Population_proportion" TargetMode="External" /><Relationship Type="http://schemas.openxmlformats.org/officeDocument/2006/relationships/hyperlink" Id="rId106" Target="https://en.wikipedia.org/wiki/Population_proportion#Mathematical_definition" TargetMode="External" /><Relationship Type="http://schemas.openxmlformats.org/officeDocument/2006/relationships/hyperlink" Id="rId100" Target="https://en.wikipedia.org/wiki/Proportion_(mathematics)" TargetMode="External" /><Relationship Type="http://schemas.openxmlformats.org/officeDocument/2006/relationships/hyperlink" Id="rId103" Target="https://en.wikipedia.org/wiki/Proportionality_(mathematics)" TargetMode="External" /><Relationship Type="http://schemas.openxmlformats.org/officeDocument/2006/relationships/hyperlink" Id="rId95" Target="https://en.wikipedia.org/wiki/Rate_(mathematics)" TargetMode="External" /><Relationship Type="http://schemas.openxmlformats.org/officeDocument/2006/relationships/hyperlink" Id="rId96" Target="https://en.wikipedia.org/wiki/Ratio" TargetMode="External" /><Relationship Type="http://schemas.openxmlformats.org/officeDocument/2006/relationships/hyperlink" Id="rId151" Target="https://openstax.org/books/algebra-and-trigonometry-2e/pages/preface" TargetMode="External" /><Relationship Type="http://schemas.openxmlformats.org/officeDocument/2006/relationships/hyperlink" Id="rId36" Target="linear-algebra.qmd#def-euclidean-norm" TargetMode="External" /><Relationship Type="http://schemas.openxmlformats.org/officeDocument/2006/relationships/hyperlink" Id="rId87" Target="notation.qmd#def-range-of-variable" TargetMode="External" /><Relationship Type="http://schemas.openxmlformats.org/officeDocument/2006/relationships/hyperlink" Id="rId88" Target="notation.qmd#sec-notational-shorthands" TargetMode="External" /><Relationship Type="http://schemas.openxmlformats.org/officeDocument/2006/relationships/hyperlink" Id="rId29" Target="sets-functions.qmd#def-empty-set" TargetMode="External" /><Relationship Type="http://schemas.openxmlformats.org/officeDocument/2006/relationships/hyperlink" Id="rId24" Target="sets-functions.qmd#def-function" TargetMode="External" /><Relationship Type="http://schemas.openxmlformats.org/officeDocument/2006/relationships/hyperlink" Id="rId26" Target="sets-functions.qmd#def-image" TargetMode="External" /><Relationship Type="http://schemas.openxmlformats.org/officeDocument/2006/relationships/hyperlink" Id="rId84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2026-10-05T22:17:40Z</dcterms:created>
  <dcterms:modified xsi:type="dcterms:W3CDTF">2026-10-05T22:17:40Z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