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2026-10-30 15:46:06 (PDT)</w:t>
      </w:r>
    </w:p>
    <w:bookmarkStart w:id="105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95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15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7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4">
        <w:r>
          <w:rPr>
            <w:rStyle w:val="Hyperlink"/>
          </w:rPr>
          <w:t xml:space="preserve">Example 8 in Critical Points and Optimality Conditions</w:t>
        </w:r>
      </w:hyperlink>
      <w:r>
        <w:t xml:space="preserve">).</w:t>
      </w:r>
    </w:p>
    <w:bookmarkEnd w:id="95"/>
    <w:bookmarkStart w:id="104" w:name="refs"/>
    <w:bookmarkStart w:id="9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97"/>
    <w:bookmarkStart w:id="99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https://en.wikipedia.org/wiki/Convex_set</w:t>
        </w:r>
      </w:hyperlink>
    </w:p>
    <w:bookmarkEnd w:id="99"/>
    <w:bookmarkStart w:id="101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https://en.wikipedia.org/wiki/Epigraph_(mathematics)</w:t>
        </w:r>
      </w:hyperlink>
    </w:p>
    <w:bookmarkEnd w:id="101"/>
    <w:bookmarkStart w:id="103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https://en.wikipedia.org/wiki/Tangent_space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2026-10-30T23:41:23Z</dcterms:created>
  <dcterms:modified xsi:type="dcterms:W3CDTF">2026-10-30T23:41:23Z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