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8</w:delText>
        </w:r>
      </w:del>
      <w:del w:id="4" w:author="PR Preview" w:date="2026-01-01T00:00:00Z">
        <w:r>
          <w:delText xml:space="preserve"> (Leaving the set out). </w:delText>
        </w:r>
      </w:del>
      <w:del w:id="5" w:author="PR Preview" w:date="2026-01-01T00:00:00Z">
        <w:r>
          <w:delText xml:space="preserve">Some authors leave the set out and write</w:delText>
        </w:r>
      </w:del>
      <w:del w:id="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This shorthand means the sum over every value</w:delText>
        </w:r>
      </w:del>
      <w:del w:id="10" w:author="PR Preview" w:date="2026-01-01T00:00:00Z">
        <w:r>
          <w:delText xml:space="preserve"> </w:delText>
        </w:r>
      </w:del>
      <m:oMath>
        <m:r>
          <m:t>x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can take,</w:delText>
        </w:r>
      </w:del>
      <w:del w:id="1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where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the</w:delText>
        </w:r>
      </w:del>
      <w:del w:id="20" w:author="PR Preview" w:date="2026-01-01T00:00:00Z">
        <w:r>
          <w:delText xml:space="preserve"> </w:delText>
        </w:r>
      </w:del>
      <w:hyperlink r:id="rId9">
        <w:del w:id="21" w:author="PR Preview" w:date="2026-01-01T00:00:00Z">
          <w:r>
            <w:rPr>
              <w:rStyle w:val="Hyperlink"/>
            </w:rPr>
            <w:delText xml:space="preserve">range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of</w:delText>
        </w:r>
      </w:del>
      <w:del w:id="24" w:author="PR Preview" w:date="2026-01-01T00:00:00Z">
        <w:r>
          <w:delText xml:space="preserve"> </w:delText>
        </w:r>
      </w:del>
      <m:oMath>
        <m:r>
          <m:t>x</m:t>
        </m:r>
      </m:oMath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For example, if</w:delText>
        </w:r>
      </w:del>
      <w:del w:id="28" w:author="PR Preview" w:date="2026-01-01T00:00:00Z">
        <w:r>
          <w:delText xml:space="preserve"> </w:delText>
        </w:r>
      </w:del>
      <m:oMath>
        <m:r>
          <m:t>x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the outcome of one roll of a six-sided die,</w:delText>
        </w:r>
      </w:del>
      <w:del w:id="3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means</w:delText>
        </w:r>
      </w:del>
      <w:del w:id="3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In these notes, we write the set out in full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(see</w:delText>
        </w:r>
      </w:del>
      <w:del w:id="40" w:author="PR Preview" w:date="2026-01-01T00:00:00Z">
        <w:r>
          <w:delText xml:space="preserve"> </w:delText>
        </w:r>
      </w:del>
      <w:hyperlink r:id="rId10">
        <w:del w:id="41" w:author="PR Preview" w:date="2026-01-01T00:00:00Z">
          <w:r>
            <w:rPr>
              <w:rStyle w:val="Hyperlink"/>
            </w:rPr>
            <w:delText xml:space="preserve">Notational shorthands</w:delText>
          </w:r>
        </w:del>
      </w:hyperlink>
      <w:del w:id="42" w:author="PR Preview" w:date="2026-01-01T00:00:00Z">
        <w:r>
          <w:delText xml:space="preserve">).</w:delText>
        </w:r>
      </w:del>
    </w:p>
    <w:p>
      <w:pPr>
        <w:pStyle w:val="BodyText"/>
      </w:pPr>
      <w:ins w:id="43" w:author="PR Preview" w:date="2026-01-01T00:00:00Z">
        <w:r>
          <w:rPr>
            <w:i/>
            <w:iCs/>
          </w:rPr>
          <w:t xml:space="preserve">Remark 8</w:t>
        </w:r>
      </w:ins>
      <w:ins w:id="44" w:author="PR Preview" w:date="2026-01-01T00:00:00Z">
        <w:r>
          <w:t xml:space="preserve"> (Leaving the set out). </w:t>
        </w:r>
      </w:ins>
      <w:ins w:id="45" w:author="PR Preview" w:date="2026-01-01T00:00:00Z">
        <w:r>
          <w:t xml:space="preserve">Some authors leave the set out and write</w:t>
        </w:r>
      </w:ins>
      <w:ins w:id="4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7" w:author="PR Preview" w:date="2026-01-01T00:00:00Z">
        <w:r>
          <w:t xml:space="preserve">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This shorthand means the sum over every value</w:t>
        </w:r>
      </w:ins>
      <w:ins w:id="50" w:author="PR Preview" w:date="2026-01-01T00:00:00Z">
        <w:r>
          <w:t xml:space="preserve"> </w:t>
        </w:r>
      </w:ins>
      <m:oMath>
        <m:r>
          <m:t>x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can take,</w:t>
        </w:r>
      </w:ins>
      <w:ins w:id="5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where</w:t>
        </w:r>
      </w:ins>
      <w:ins w:id="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the</w:t>
        </w:r>
      </w:ins>
      <w:ins w:id="60" w:author="PR Preview" w:date="2026-01-01T00:00:00Z">
        <w:r>
          <w:t xml:space="preserve"> </w:t>
        </w:r>
      </w:ins>
      <w:hyperlink w:anchor="def-range-of-variable">
        <w:ins w:id="61" w:author="PR Preview" w:date="2026-01-01T00:00:00Z">
          <w:r>
            <w:rPr>
              <w:rStyle w:val="Hyperlink"/>
            </w:rPr>
            <w:t xml:space="preserve">range</w:t>
          </w:r>
        </w:ins>
      </w:hyperlink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of</w:t>
        </w:r>
      </w:ins>
      <w:ins w:id="64" w:author="PR Preview" w:date="2026-01-01T00:00:00Z">
        <w:r>
          <w:t xml:space="preserve"> </w:t>
        </w:r>
      </w:ins>
      <m:oMath>
        <m:r>
          <m:t>x</m:t>
        </m:r>
      </m:oMath>
      <w:ins w:id="65" w:author="PR Preview" w:date="2026-01-01T00:00:00Z">
        <w:r>
          <w:t xml:space="preserve">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For example, if</w:t>
        </w:r>
      </w:ins>
      <w:ins w:id="68" w:author="PR Preview" w:date="2026-01-01T00:00:00Z">
        <w:r>
          <w:t xml:space="preserve"> </w:t>
        </w:r>
      </w:ins>
      <m:oMath>
        <m:r>
          <m:t>x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 the outcome of one roll of a six-sided die,</w:t>
        </w:r>
      </w:ins>
      <w:ins w:id="7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means</w:t>
        </w:r>
      </w:ins>
      <w:ins w:id="7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5" w:author="PR Preview" w:date="2026-01-01T00:00:00Z">
        <w:r>
          <w:t xml:space="preserve">.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In these notes, we write the set out in full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(see</w:t>
        </w:r>
      </w:ins>
      <w:ins w:id="80" w:author="PR Preview" w:date="2026-01-01T00:00:00Z">
        <w:r>
          <w:t xml:space="preserve"> </w:t>
        </w:r>
      </w:ins>
      <w:hyperlink w:anchor="sec-notational-shorthands">
        <w:ins w:id="81" w:author="PR Preview" w:date="2026-01-01T00:00:00Z">
          <w:r>
            <w:rPr>
              <w:rStyle w:val="Hyperlink"/>
            </w:rPr>
            <w:t xml:space="preserve">Limits of sums and notational shorthands</w:t>
          </w:r>
        </w:ins>
      </w:hyperlink>
      <w:ins w:id="82" w:author="PR Preview" w:date="2026-01-01T00:00:00Z">
        <w:r>
          <w:t xml:space="preserve">).</w:t>
        </w:r>
      </w:ins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ins w:id="83" w:author="PR Preview" w:date="2026-01-01T00:00:00Z">
        <w:r>
          <w:t xml:space="preserve">9 Limits of sums and notational shorthands</w:t>
        </w:r>
      </w:ins>
    </w:p>
    <w:bookmarkStart w:id="126" w:name="def-lower-upper-limits"/>
    <w:p>
      <w:pPr>
        <w:pStyle w:val="FirstParagraph"/>
      </w:pPr>
      <w:ins w:id="84" w:author="PR Preview" w:date="2026-01-01T00:00:00Z">
        <w:r>
          <w:rPr>
            <w:b/>
            <w:bCs/>
          </w:rPr>
          <w:t xml:space="preserve">Definition 33 (Lower limit of a sum or integral)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In a</w:t>
        </w:r>
      </w:ins>
      <w:ins w:id="87" w:author="PR Preview" w:date="2026-01-01T00:00:00Z">
        <w:r>
          <w:t xml:space="preserve"> </w:t>
        </w:r>
      </w:ins>
      <w:hyperlink w:anchor="def-summation">
        <w:ins w:id="88" w:author="PR Preview" w:date="2026-01-01T00:00:00Z">
          <w:r>
            <w:rPr>
              <w:rStyle w:val="Hyperlink"/>
            </w:rPr>
            <w:t xml:space="preserve">sum</w:t>
          </w:r>
        </w:ins>
      </w:hyperlink>
      <w:ins w:id="8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the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b/>
            <w:bCs/>
          </w:rPr>
          <w:t xml:space="preserve">lower limit</w:t>
        </w:r>
      </w:ins>
      <w:ins w:id="95" w:author="PR Preview" w:date="2026-01-01T00:00:00Z">
        <w:r>
          <w:t xml:space="preserve"> </w:t>
        </w:r>
      </w:ins>
      <m:oMath>
        <m:r>
          <m:t>m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the first value of the index</w:t>
        </w:r>
      </w:ins>
      <w:ins w:id="98" w:author="PR Preview" w:date="2026-01-01T00:00:00Z">
        <w:r>
          <w:t xml:space="preserve"> </w:t>
        </w:r>
      </w:ins>
      <m:oMath>
        <m:r>
          <m:t>i</m:t>
        </m:r>
      </m:oMath>
      <w:ins w:id="99" w:author="PR Preview" w:date="2026-01-01T00:00:00Z">
        <w:r>
          <w:t xml:space="preserve">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In an</w:t>
        </w:r>
      </w:ins>
      <w:ins w:id="102" w:author="PR Preview" w:date="2026-01-01T00:00:00Z">
        <w:r>
          <w:t xml:space="preserve"> </w:t>
        </w:r>
      </w:ins>
      <w:hyperlink r:id="rId125">
        <w:ins w:id="103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104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b/>
            <w:bCs/>
          </w:rPr>
          <w:t xml:space="preserve">lower limit</w:t>
        </w:r>
      </w:ins>
      <w:ins w:id="110" w:author="PR Preview" w:date="2026-01-01T00:00:00Z">
        <w:r>
          <w:t xml:space="preserve"> </w:t>
        </w:r>
      </w:ins>
      <m:oMath>
        <m:r>
          <m:t>a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 the left end of the interval of integration.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In both, the lower limit is written below the symbol.</w:t>
        </w:r>
      </w:ins>
    </w:p>
    <w:bookmarkEnd w:id="126"/>
    <w:bookmarkStart w:id="127" w:name="def-upper-limit"/>
    <w:p>
      <w:pPr>
        <w:pStyle w:val="BodyText"/>
      </w:pPr>
      <w:ins w:id="115" w:author="PR Preview" w:date="2026-01-01T00:00:00Z">
        <w:r>
          <w:rPr>
            <w:b/>
            <w:bCs/>
          </w:rPr>
          <w:t xml:space="preserve">Definition 34 (Upper limit of a sum or integral)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In a</w:t>
        </w:r>
      </w:ins>
      <w:ins w:id="118" w:author="PR Preview" w:date="2026-01-01T00:00:00Z">
        <w:r>
          <w:t xml:space="preserve"> </w:t>
        </w:r>
      </w:ins>
      <w:hyperlink w:anchor="def-summation">
        <w:ins w:id="119" w:author="PR Preview" w:date="2026-01-01T00:00:00Z">
          <w:r>
            <w:rPr>
              <w:rStyle w:val="Hyperlink"/>
            </w:rPr>
            <w:t xml:space="preserve">sum</w:t>
          </w:r>
        </w:ins>
      </w:hyperlink>
      <w:ins w:id="12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21" w:author="PR Preview" w:date="2026-01-01T00:00:00Z">
        <w:r>
          <w:t xml:space="preserve">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the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rPr>
            <w:b/>
            <w:bCs/>
          </w:rPr>
          <w:t xml:space="preserve">upper limit</w:t>
        </w:r>
      </w:ins>
      <w:ins w:id="126" w:author="PR Preview" w:date="2026-01-01T00:00:00Z">
        <w:r>
          <w:t xml:space="preserve"> </w:t>
        </w:r>
      </w:ins>
      <m:oMath>
        <m:r>
          <m:t>n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 the last value of the index</w:t>
        </w:r>
      </w:ins>
      <w:ins w:id="129" w:author="PR Preview" w:date="2026-01-01T00:00:00Z">
        <w:r>
          <w:t xml:space="preserve"> </w:t>
        </w:r>
      </w:ins>
      <m:oMath>
        <m:r>
          <m:t>i</m:t>
        </m:r>
      </m:oMath>
      <w:ins w:id="130" w:author="PR Preview" w:date="2026-01-01T00:00:00Z">
        <w:r>
          <w:t xml:space="preserve">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In an</w:t>
        </w:r>
      </w:ins>
      <w:ins w:id="133" w:author="PR Preview" w:date="2026-01-01T00:00:00Z">
        <w:r>
          <w:t xml:space="preserve"> </w:t>
        </w:r>
      </w:ins>
      <w:hyperlink r:id="rId125">
        <w:ins w:id="134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135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the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rPr>
            <w:b/>
            <w:bCs/>
          </w:rPr>
          <w:t xml:space="preserve">upper limit</w:t>
        </w:r>
      </w:ins>
      <w:ins w:id="141" w:author="PR Preview" w:date="2026-01-01T00:00:00Z">
        <w:r>
          <w:t xml:space="preserve"> </w:t>
        </w:r>
      </w:ins>
      <m:oMath>
        <m:r>
          <m:t>b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is the right end of the interval of integration.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In both, the upper limit is written above the symbol.</w:t>
        </w:r>
      </w:ins>
    </w:p>
    <w:bookmarkEnd w:id="127"/>
    <w:bookmarkStart w:id="128" w:name="def-limits-of-integration"/>
    <w:p>
      <w:pPr>
        <w:pStyle w:val="BodyText"/>
      </w:pPr>
      <w:ins w:id="146" w:author="PR Preview" w:date="2026-01-01T00:00:00Z">
        <w:r>
          <w:rPr>
            <w:b/>
            <w:bCs/>
          </w:rPr>
          <w:t xml:space="preserve">Definition 35 (Limits of integration)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In an</w:t>
        </w:r>
      </w:ins>
      <w:ins w:id="149" w:author="PR Preview" w:date="2026-01-01T00:00:00Z">
        <w:r>
          <w:t xml:space="preserve"> </w:t>
        </w:r>
      </w:ins>
      <w:hyperlink r:id="rId125">
        <w:ins w:id="150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151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the lower limit (</w:t>
        </w:r>
      </w:ins>
      <w:hyperlink w:anchor="def-lower-upper-limits">
        <w:ins w:id="155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156" w:author="PR Preview" w:date="2026-01-01T00:00:00Z">
        <w:r>
          <w:t xml:space="preserve">)</w:t>
        </w:r>
      </w:ins>
      <w:ins w:id="157" w:author="PR Preview" w:date="2026-01-01T00:00:00Z">
        <w:r>
          <w:t xml:space="preserve"> </w:t>
        </w:r>
      </w:ins>
      <m:oMath>
        <m:r>
          <m:t>a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and the upper limit (</w:t>
        </w:r>
      </w:ins>
      <w:hyperlink w:anchor="def-upper-limit">
        <w:ins w:id="160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161" w:author="PR Preview" w:date="2026-01-01T00:00:00Z">
        <w:r>
          <w:t xml:space="preserve">)</w:t>
        </w:r>
      </w:ins>
      <w:ins w:id="162" w:author="PR Preview" w:date="2026-01-01T00:00:00Z">
        <w:r>
          <w:t xml:space="preserve"> </w:t>
        </w:r>
      </w:ins>
      <m:oMath>
        <m:r>
          <m:t>b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together are the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b/>
            <w:bCs/>
          </w:rPr>
          <w:t xml:space="preserve">limits of integration</w:t>
        </w:r>
      </w:ins>
      <w:ins w:id="167" w:author="PR Preview" w:date="2026-01-01T00:00:00Z">
        <w:r>
          <w:t xml:space="preserve">.</w:t>
        </w:r>
      </w:ins>
    </w:p>
    <w:bookmarkEnd w:id="128"/>
    <w:bookmarkStart w:id="129" w:name="exm-lower-upper-limits"/>
    <w:p>
      <w:pPr>
        <w:pStyle w:val="BodyText"/>
      </w:pPr>
      <w:ins w:id="168" w:author="PR Preview" w:date="2026-01-01T00:00:00Z">
        <w:r>
          <w:rPr>
            <w:b/>
            <w:bCs/>
          </w:rPr>
          <w:t xml:space="preserve">Example 25 (Reading off limits)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1"/>
        </w:numPr>
      </w:pPr>
      <w:ins w:id="171" w:author="PR Preview" w:date="2026-01-01T00:00:00Z">
        <w:r>
          <w:t xml:space="preserve">In</w:t>
        </w:r>
      </w:ins>
      <w:ins w:id="17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ins w:id="173" w:author="PR Preview" w:date="2026-01-01T00:00:00Z">
        <w:r>
          <w:t xml:space="preserve">, the lower limit is</w:t>
        </w:r>
      </w:ins>
      <w:ins w:id="174" w:author="PR Preview" w:date="2026-01-01T00:00:00Z">
        <w:r>
          <w:t xml:space="preserve"> </w:t>
        </w:r>
      </w:ins>
      <m:oMath>
        <m:r>
          <m:t>2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 the upper limit is</w:t>
        </w:r>
      </w:ins>
      <w:ins w:id="177" w:author="PR Preview" w:date="2026-01-01T00:00:00Z">
        <w:r>
          <w:t xml:space="preserve"> </w:t>
        </w:r>
      </w:ins>
      <m:oMath>
        <m:r>
          <m:t>5</m:t>
        </m:r>
      </m:oMath>
      <w:ins w:id="178" w:author="PR Preview" w:date="2026-01-01T00:00:00Z">
        <w:r>
          <w:t xml:space="preserve">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so the sum is</w:t>
        </w:r>
      </w:ins>
      <w:ins w:id="181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ins w:id="18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1"/>
        </w:numPr>
      </w:pPr>
      <w:ins w:id="183" w:author="PR Preview" w:date="2026-01-01T00:00:00Z">
        <w:r>
          <w:t xml:space="preserve">In</w:t>
        </w:r>
      </w:ins>
      <w:ins w:id="184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ins w:id="185" w:author="PR Preview" w:date="2026-01-01T00:00:00Z">
        <w:r>
          <w:t xml:space="preserve">, the lower limit is</w:t>
        </w:r>
      </w:ins>
      <w:ins w:id="186" w:author="PR Preview" w:date="2026-01-01T00:00:00Z">
        <w:r>
          <w:t xml:space="preserve"> </w:t>
        </w:r>
      </w:ins>
      <m:oMath>
        <m:r>
          <m:t>0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 the upper limit is</w:t>
        </w:r>
      </w:ins>
      <w:ins w:id="189" w:author="PR Preview" w:date="2026-01-01T00:00:00Z">
        <w:r>
          <w:t xml:space="preserve"> </w:t>
        </w:r>
      </w:ins>
      <m:oMath>
        <m:r>
          <m:t>3</m:t>
        </m:r>
      </m:oMath>
      <w:ins w:id="190" w:author="PR Preview" w:date="2026-01-01T00:00:00Z">
        <w:r>
          <w:t xml:space="preserve">.</w:t>
        </w:r>
      </w:ins>
    </w:p>
    <w:bookmarkEnd w:id="129"/>
    <w:bookmarkStart w:id="132" w:name="rem-limits-two-meanings"/>
    <w:p>
      <w:pPr>
        <w:pStyle w:val="FirstParagraph"/>
      </w:pPr>
      <w:ins w:id="191" w:author="PR Preview" w:date="2026-01-01T00:00:00Z">
        <w:r>
          <w:rPr>
            <w:i/>
            <w:iCs/>
          </w:rPr>
          <w:t xml:space="preserve">Remark 9</w:t>
        </w:r>
      </w:ins>
      <w:ins w:id="192" w:author="PR Preview" w:date="2026-01-01T00:00:00Z">
        <w:r>
          <w:t xml:space="preserve"> (Two meanings of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“limit”</w:t>
        </w:r>
      </w:ins>
      <w:ins w:id="195" w:author="PR Preview" w:date="2026-01-01T00:00:00Z">
        <w:r>
          <w:t xml:space="preserve">). </w:t>
        </w:r>
      </w:ins>
      <w:ins w:id="196" w:author="PR Preview" w:date="2026-01-01T00:00:00Z">
        <w:r>
          <w:t xml:space="preserve">The lower and upper limits of a sum or integral (</w:t>
        </w:r>
      </w:ins>
      <w:hyperlink w:anchor="def-lower-upper-limits">
        <w:ins w:id="197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hyperlink w:anchor="def-upper-limit">
        <w:ins w:id="200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201" w:author="PR Preview" w:date="2026-01-01T00:00:00Z">
        <w:r>
          <w:t xml:space="preserve">)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are not limits in the calculus sense,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such as the</w:t>
        </w:r>
      </w:ins>
      <w:ins w:id="206" w:author="PR Preview" w:date="2026-01-01T00:00:00Z">
        <w:r>
          <w:t xml:space="preserve"> </w:t>
        </w:r>
      </w:ins>
      <w:hyperlink r:id="rId130">
        <w:ins w:id="207" w:author="PR Preview" w:date="2026-01-01T00:00:00Z">
          <w:r>
            <w:rPr>
              <w:rStyle w:val="Hyperlink"/>
            </w:rPr>
            <w:t xml:space="preserve">limit of a function</w:t>
          </w:r>
        </w:ins>
      </w:hyperlink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or the</w:t>
        </w:r>
      </w:ins>
      <w:ins w:id="210" w:author="PR Preview" w:date="2026-01-01T00:00:00Z">
        <w:r>
          <w:t xml:space="preserve"> </w:t>
        </w:r>
      </w:ins>
      <w:hyperlink r:id="rId131">
        <w:ins w:id="211" w:author="PR Preview" w:date="2026-01-01T00:00:00Z">
          <w:r>
            <w:rPr>
              <w:rStyle w:val="Hyperlink"/>
            </w:rPr>
            <w:t xml:space="preserve">limit of a sequence</w:t>
          </w:r>
        </w:ins>
      </w:hyperlink>
      <w:ins w:id="212" w:author="PR Preview" w:date="2026-01-01T00:00:00Z">
        <w:r>
          <w:t xml:space="preserve">.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They are the ends of the values the index or variable runs over.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 two meanings meet in an integral such as</w:t>
        </w:r>
      </w:ins>
      <w:ins w:id="217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18" w:author="PR Preview" w:date="2026-01-01T00:00:00Z">
        <w:r>
          <w:t xml:space="preserve">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which means</w:t>
        </w:r>
      </w:ins>
      <w:ins w:id="22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22" w:author="PR Preview" w:date="2026-01-01T00:00:00Z">
        <w:r>
          <w:t xml:space="preserve">: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the upper limit</w:t>
        </w:r>
      </w:ins>
      <w:ins w:id="225" w:author="PR Preview" w:date="2026-01-01T00:00:00Z">
        <w:r>
          <w:t xml:space="preserve"> </w:t>
        </w:r>
      </w:ins>
      <m:oMath>
        <m:r>
          <m:t>b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is sent to infinity by a calculus limit.</w:t>
        </w:r>
      </w:ins>
    </w:p>
    <w:bookmarkEnd w:id="132"/>
    <w:bookmarkStart w:id="133" w:name="def-notational-shorthand"/>
    <w:p>
      <w:pPr>
        <w:pStyle w:val="BodyText"/>
      </w:pPr>
      <w:ins w:id="228" w:author="PR Preview" w:date="2026-01-01T00:00:00Z">
        <w:r>
          <w:rPr>
            <w:b/>
            <w:bCs/>
          </w:rPr>
          <w:t xml:space="preserve">Definition 36 (Notational shorthand)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rPr>
            <w:b/>
            <w:bCs/>
          </w:rPr>
          <w:t xml:space="preserve">notational shorthand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is a way of writing an expression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that leaves part of the expression out,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such as the set a sum runs over or the limits of an integral,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and relies on the reader to supply the missing part from context.</w:t>
        </w:r>
      </w:ins>
    </w:p>
    <w:bookmarkEnd w:id="133"/>
    <w:bookmarkStart w:id="134" w:name="def-full-form"/>
    <w:p>
      <w:pPr>
        <w:pStyle w:val="BodyText"/>
      </w:pPr>
      <w:ins w:id="241" w:author="PR Preview" w:date="2026-01-01T00:00:00Z">
        <w:r>
          <w:rPr>
            <w:b/>
            <w:bCs/>
          </w:rPr>
          <w:t xml:space="preserve">Definition 37 (Full form)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The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rPr>
            <w:b/>
            <w:bCs/>
          </w:rPr>
          <w:t xml:space="preserve">full form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of a notational shorthand (</w:t>
        </w:r>
      </w:ins>
      <w:hyperlink w:anchor="def-notational-shorthand">
        <w:ins w:id="248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249" w:author="PR Preview" w:date="2026-01-01T00:00:00Z">
        <w:r>
          <w:t xml:space="preserve">)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is the expression with every part written out.</w:t>
        </w:r>
      </w:ins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ins w:id="252" w:author="PR Preview" w:date="2026-01-01T00:00:00Z">
        <w:r>
          <w:rPr>
            <w:b/>
            <w:bCs/>
          </w:rPr>
          <w:t xml:space="preserve">Definition 38 (Range of a variable)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The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rPr>
            <w:b/>
            <w:bCs/>
          </w:rPr>
          <w:t xml:space="preserve">range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of a variable</w:t>
        </w:r>
      </w:ins>
      <w:ins w:id="259" w:author="PR Preview" w:date="2026-01-01T00:00:00Z">
        <w:r>
          <w:t xml:space="preserve"> </w:t>
        </w:r>
      </w:ins>
      <m:oMath>
        <m:r>
          <m:t>x</m:t>
        </m:r>
      </m:oMath>
      <w:ins w:id="260" w:author="PR Preview" w:date="2026-01-01T00:00:00Z">
        <w:r>
          <w:t xml:space="preserve">, written</w:t>
        </w:r>
      </w:ins>
      <w:ins w:id="2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2" w:author="PR Preview" w:date="2026-01-01T00:00:00Z">
        <w:r>
          <w:t xml:space="preserve">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is the set of values that</w:t>
        </w:r>
      </w:ins>
      <w:ins w:id="265" w:author="PR Preview" w:date="2026-01-01T00:00:00Z">
        <w:r>
          <w:t xml:space="preserve"> </w:t>
        </w:r>
      </w:ins>
      <m:oMath>
        <m:r>
          <m:t>x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can take.</w:t>
        </w:r>
      </w:ins>
    </w:p>
    <w:bookmarkEnd w:id="138"/>
    <w:p>
      <w:pPr>
        <w:pStyle w:val="BodyText"/>
      </w:pPr>
      <w:ins w:id="268" w:author="PR Preview" w:date="2026-01-01T00:00:00Z">
        <w:r>
          <w:t xml:space="preserve">For example,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if</w:t>
        </w:r>
      </w:ins>
      <w:ins w:id="271" w:author="PR Preview" w:date="2026-01-01T00:00:00Z">
        <w:r>
          <w:t xml:space="preserve"> </w:t>
        </w:r>
      </w:ins>
      <m:oMath>
        <m:r>
          <m:t>x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is the number of heads in two tosses of a coin,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then</w:t>
        </w:r>
      </w:ins>
      <w:ins w:id="2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277" w:author="PR Preview" w:date="2026-01-01T00:00:00Z">
        <w:r>
          <w:t xml:space="preserve">.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</w:t>
        </w:r>
      </w:ins>
      <w:ins w:id="280" w:author="PR Preview" w:date="2026-01-01T00:00:00Z">
        <w:r>
          <w:t xml:space="preserve"> </w:t>
        </w:r>
      </w:ins>
      <w:hyperlink r:id="rId139">
        <w:ins w:id="281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282" w:author="PR Preview" w:date="2026-01-01T00:00:00Z">
        <w:r>
          <w:t xml:space="preserve"> </w:t>
        </w:r>
      </w:ins>
      <m:oMath>
        <m:r>
          <m:t>X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(defined in the Morrison Lab’s probability notes)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is a</w:t>
        </w:r>
      </w:ins>
      <w:ins w:id="287" w:author="PR Preview" w:date="2026-01-01T00:00:00Z">
        <w:r>
          <w:t xml:space="preserve"> </w:t>
        </w:r>
      </w:ins>
      <w:hyperlink r:id="rId14">
        <w:ins w:id="28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89" w:author="PR Preview" w:date="2026-01-01T00:00:00Z">
        <w:r>
          <w:t xml:space="preserve">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and the set of values</w:t>
        </w:r>
      </w:ins>
      <w:ins w:id="292" w:author="PR Preview" w:date="2026-01-01T00:00:00Z">
        <w:r>
          <w:t xml:space="preserve"> </w:t>
        </w:r>
      </w:ins>
      <m:oMath>
        <m:r>
          <m:t>X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can take,</w:t>
        </w:r>
      </w:ins>
      <w:ins w:id="2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96" w:author="PR Preview" w:date="2026-01-01T00:00:00Z">
        <w:r>
          <w:t xml:space="preserve">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is the</w:t>
        </w:r>
      </w:ins>
      <w:ins w:id="299" w:author="PR Preview" w:date="2026-01-01T00:00:00Z">
        <w:r>
          <w:t xml:space="preserve"> </w:t>
        </w:r>
      </w:ins>
      <w:hyperlink r:id="rId34">
        <w:ins w:id="300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of</w:t>
        </w:r>
      </w:ins>
      <w:ins w:id="303" w:author="PR Preview" w:date="2026-01-01T00:00:00Z">
        <w:r>
          <w:t xml:space="preserve"> </w:t>
        </w:r>
      </w:ins>
      <m:oMath>
        <m:r>
          <m:t>X</m:t>
        </m:r>
      </m:oMath>
      <w:ins w:id="304" w:author="PR Preview" w:date="2026-01-01T00:00:00Z">
        <w:r>
          <w:t xml:space="preserve">.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These notes use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“range”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only for variables: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for a function,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“range”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can mean either the image or the codomain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(</w:t>
        </w:r>
      </w:ins>
      <w:hyperlink r:id="rId140">
        <w:ins w:id="319" w:author="PR Preview" w:date="2026-01-01T00:00:00Z">
          <w:r>
            <w:rPr>
              <w:rStyle w:val="Hyperlink"/>
            </w:rPr>
            <w:t xml:space="preserve">Image and range</w:t>
          </w:r>
        </w:ins>
      </w:hyperlink>
      <w:ins w:id="320" w:author="PR Preview" w:date="2026-01-01T00:00:00Z">
        <w:r>
          <w:t xml:space="preserve">).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In statistics,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“the range”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of a dataset can also mean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its largest value minus its smallest value;</w:t>
        </w:r>
      </w:ins>
      <w:ins w:id="3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is a set, not that difference.</w:t>
        </w:r>
      </w:ins>
    </w:p>
    <w:p>
      <w:pPr>
        <w:pStyle w:val="BodyText"/>
      </w:pPr>
      <w:hyperlink w:anchor="tbl-notational-shorthands">
        <w:ins w:id="332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lists shorthands you may meet in other sources,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the full form each one abbreviates,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and the part each one leaves out.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In the table,</w:t>
        </w:r>
      </w:ins>
      <w:ins w:id="3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and</w:t>
        </w:r>
      </w:ins>
      <w:ins w:id="34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are</w:t>
        </w:r>
      </w:ins>
      <w:ins w:id="347" w:author="PR Preview" w:date="2026-01-01T00:00:00Z">
        <w:r>
          <w:t xml:space="preserve"> </w:t>
        </w:r>
      </w:ins>
      <m:oMath>
        <m:r>
          <m:t>n</m:t>
        </m:r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numbers,</w:t>
        </w:r>
      </w:ins>
      <w:ins w:id="350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is the entry in row</w:t>
        </w:r>
      </w:ins>
      <w:ins w:id="353" w:author="PR Preview" w:date="2026-01-01T00:00:00Z">
        <w:r>
          <w:t xml:space="preserve"> </w:t>
        </w:r>
      </w:ins>
      <m:oMath>
        <m:r>
          <m:t>i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and column</w:t>
        </w:r>
      </w:ins>
      <w:ins w:id="356" w:author="PR Preview" w:date="2026-01-01T00:00:00Z">
        <w:r>
          <w:t xml:space="preserve"> </w:t>
        </w:r>
      </w:ins>
      <m:oMath>
        <m:r>
          <m:t>j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of an</w:t>
        </w:r>
      </w:ins>
      <w:ins w:id="35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array,</w:t>
        </w:r>
      </w:ins>
      <w:ins w:id="362" w:author="PR Preview" w:date="2026-01-01T00:00:00Z">
        <w:r>
          <w:t xml:space="preserve"> </w:t>
        </w:r>
      </w:ins>
      <m:oMath>
        <m:r>
          <m:t>k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is an integer with</w:t>
        </w:r>
      </w:ins>
      <w:ins w:id="36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ins w:id="366" w:author="PR Preview" w:date="2026-01-01T00:00:00Z">
        <w:r>
          <w:t xml:space="preserve">,</w:t>
        </w:r>
      </w:ins>
      <w:ins w:id="367" w:author="PR Preview" w:date="2026-01-01T00:00:00Z">
        <w:r>
          <w:t xml:space="preserve"> </w:t>
        </w:r>
      </w:ins>
      <m:oMath>
        <m:r>
          <m:t>f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is a</w:t>
        </w:r>
      </w:ins>
      <w:ins w:id="370" w:author="PR Preview" w:date="2026-01-01T00:00:00Z">
        <w:r>
          <w:t xml:space="preserve"> </w:t>
        </w:r>
      </w:ins>
      <w:hyperlink r:id="rId14">
        <w:ins w:id="37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from</w:t>
        </w:r>
      </w:ins>
      <w:ins w:id="37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to</w:t>
        </w:r>
      </w:ins>
      <w:ins w:id="37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78" w:author="PR Preview" w:date="2026-01-01T00:00:00Z">
        <w:r>
          <w:t xml:space="preserve">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and, in the first row,</w:t>
        </w:r>
      </w:ins>
      <w:ins w:id="38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is a finite set.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ins w:id="384" w:author="PR Preview" w:date="2026-01-01T00:00:00Z">
        <w:r>
          <w:rPr>
            <w:i/>
            <w:iCs/>
          </w:rPr>
          <w:t xml:space="preserve">Remark 10</w:t>
        </w:r>
      </w:ins>
      <w:ins w:id="385" w:author="PR Preview" w:date="2026-01-01T00:00:00Z">
        <w:r>
          <w:t xml:space="preserve"> (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has two readings). </w:t>
        </w:r>
      </w:ins>
      <w:ins w:id="388" w:author="PR Preview" w:date="2026-01-01T00:00:00Z">
        <w:r>
          <w:t xml:space="preserve">In calculus,</w:t>
        </w:r>
      </w:ins>
      <w:ins w:id="389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with no limits is not a shorthand: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it is the</w:t>
        </w:r>
      </w:ins>
      <w:ins w:id="394" w:author="PR Preview" w:date="2026-01-01T00:00:00Z">
        <w:r>
          <w:t xml:space="preserve"> </w:t>
        </w:r>
      </w:ins>
      <w:hyperlink r:id="rId142">
        <w:ins w:id="395" w:author="PR Preview" w:date="2026-01-01T00:00:00Z">
          <w:r>
            <w:rPr>
              <w:rStyle w:val="Hyperlink"/>
            </w:rPr>
            <w:t xml:space="preserve">indefinite integral</w:t>
          </w:r>
        </w:ins>
      </w:hyperlink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of</w:t>
        </w:r>
      </w:ins>
      <w:ins w:id="398" w:author="PR Preview" w:date="2026-01-01T00:00:00Z">
        <w:r>
          <w:t xml:space="preserve"> </w:t>
        </w:r>
      </w:ins>
      <m:oMath>
        <m:r>
          <m:t>f</m:t>
        </m:r>
      </m:oMath>
      <w:ins w:id="399" w:author="PR Preview" w:date="2026-01-01T00:00:00Z">
        <w:r>
          <w:t xml:space="preserve">,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a family of functions rather than a number.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Some sources, especially in probability,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also write</w:t>
        </w:r>
      </w:ins>
      <w:ins w:id="406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for the number</w:t>
        </w:r>
      </w:ins>
      <w:ins w:id="40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410" w:author="PR Preview" w:date="2026-01-01T00:00:00Z">
        <w:r>
          <w:t xml:space="preserve">.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Writing the limits out tells the reader which of the two is meant.</w:t>
        </w:r>
      </w:ins>
    </w:p>
    <w:bookmarkEnd w:id="143"/>
    <w:bookmarkStart w:id="144" w:name="exm-expand-index-shorthand"/>
    <w:p>
      <w:pPr>
        <w:pStyle w:val="BodyText"/>
      </w:pPr>
      <w:ins w:id="413" w:author="PR Preview" w:date="2026-01-01T00:00:00Z">
        <w:r>
          <w:rPr>
            <w:b/>
            <w:bCs/>
          </w:rPr>
          <w:t xml:space="preserve">Example 26 (Writing out an index shorthand)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Let</w:t>
        </w:r>
      </w:ins>
      <w:ins w:id="4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and</w:t>
        </w:r>
      </w:ins>
      <w:ins w:id="4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20" w:author="PR Preview" w:date="2026-01-01T00:00:00Z">
        <w:r>
          <w:t xml:space="preserve">.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A source that writes</w:t>
        </w:r>
      </w:ins>
      <w:ins w:id="42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means</w:t>
        </w:r>
      </w:ins>
      <w:ins w:id="42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2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95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6" Type="http://schemas.openxmlformats.org/officeDocument/2006/relationships/hyperlink" Target="sets-functions.qmd#def-set" TargetMode="External"/><Relationship Id="rId140" Type="http://schemas.openxmlformats.org/officeDocument/2006/relationships/hyperlink" Target="sets-functions.qmd#rem-image-range" TargetMode="External"/><Relationship Id="rId9" Type="http://schemas.openxmlformats.org/officeDocument/2006/relationships/hyperlink" Target="notation.qmd#def-range-of-variable" TargetMode="External"/><Relationship Id="rId10" Type="http://schemas.openxmlformats.org/officeDocument/2006/relationships/hyperlink" Target="notation.qmd#sec-notational-shorthands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95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6" Type="http://schemas.openxmlformats.org/officeDocument/2006/relationships/hyperlink" Target="sets-functions.qmd#def-set" TargetMode="External"/><Relationship Id="rId140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2026-10-15T21:17:23Z</dcterms:created>
  <dcterms:modified xsi:type="dcterms:W3CDTF">2026-10-15T21:17:23Z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