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del w:id="3" w:author="PR Preview" w:date="2026-01-01T00:00:00Z">
        <w:r>
          <w:delText xml:space="preserve">the identity matrix (</w:delText>
        </w:r>
      </w:del>
      <w:hyperlink r:id="rId11">
        <w:del w:id="4" w:author="PR Preview" w:date="2026-01-01T00:00:00Z">
          <w:r>
            <w:rPr>
              <w:rStyle w:val="Hyperlink"/>
            </w:rPr>
            <w:delText xml:space="preserve">Definition 10 in Matrices</w:delText>
          </w:r>
        </w:del>
      </w:hyperlink>
      <w:del w:id="5" w:author="PR Preview" w:date="2026-01-01T00:00:00Z">
        <w:r>
          <w:delText xml:space="preserve">), in that same section</w:delText>
        </w:r>
      </w:del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the identity matrix (</w:t>
        </w:r>
      </w:ins>
      <w:hyperlink r:id="rId11">
        <w:ins w:id="7" w:author="PR Preview" w:date="2026-01-01T00:00:00Z">
          <w:r>
            <w:rPr>
              <w:rStyle w:val="Hyperlink"/>
            </w:rPr>
            <w:t xml:space="preserve">Definition 12 in Matrices</w:t>
          </w:r>
        </w:ins>
      </w:hyperlink>
      <w:ins w:id="8" w:author="PR Preview" w:date="2026-01-01T00:00:00Z">
        <w:r>
          <w:t xml:space="preserve">), in that same section</w:t>
        </w:r>
      </w:ins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9" w:author="PR Preview" w:date="2026-01-01T00:00:00Z">
        <w:r>
          <w:delText xml:space="preserve">where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the identity matrix (</w:delText>
        </w:r>
      </w:del>
      <w:hyperlink r:id="rId11">
        <w:del w:id="13" w:author="PR Preview" w:date="2026-01-01T00:00:00Z">
          <w:r>
            <w:rPr>
              <w:rStyle w:val="Hyperlink"/>
            </w:rPr>
            <w:delText xml:space="preserve">Definition 10 in Matrices</w:delText>
          </w:r>
        </w:del>
      </w:hyperlink>
      <w:del w:id="14" w:author="PR Preview" w:date="2026-01-01T00:00:00Z">
        <w:r>
          <w:delText xml:space="preserve">).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 square matrix that is not invertible is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singular</w:delText>
        </w:r>
      </w:del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t xml:space="preserve">where</w:t>
        </w:r>
      </w:ins>
      <w:ins w:id="2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is the identity matrix (</w:t>
        </w:r>
      </w:ins>
      <w:hyperlink r:id="rId11">
        <w:ins w:id="24" w:author="PR Preview" w:date="2026-01-01T00:00:00Z">
          <w:r>
            <w:rPr>
              <w:rStyle w:val="Hyperlink"/>
            </w:rPr>
            <w:t xml:space="preserve">Definition 12 in Matrices</w:t>
          </w:r>
        </w:ins>
      </w:hyperlink>
      <w:ins w:id="25" w:author="PR Preview" w:date="2026-01-01T00:00:00Z">
        <w:r>
          <w:t xml:space="preserve">).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 square matrix that is not invertible is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singular</w:t>
        </w:r>
      </w:ins>
      <w:ins w:id="30" w:author="PR Preview" w:date="2026-01-01T00:00:00Z">
        <w:r>
          <w:t xml:space="preserve">.</w:t>
        </w:r>
      </w:ins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del w:id="31" w:author="PR Preview" w:date="2026-01-01T00:00:00Z">
        <w:r>
          <w:rPr>
            <w:i/>
            <w:iCs/>
          </w:rPr>
          <w:delText xml:space="preserve">Remark 5</w:delText>
        </w:r>
      </w:del>
      <w:del w:id="32" w:author="PR Preview" w:date="2026-01-01T00:00:00Z">
        <w:r>
          <w:delText xml:space="preserve"> (The columns of an orthogonal matrix are orthonormal). </w:delText>
        </w:r>
      </w:del>
      <w:del w:id="33" w:author="PR Preview" w:date="2026-01-01T00:00:00Z">
        <w:r>
          <w:delText xml:space="preserve">Entry</w:delText>
        </w:r>
      </w:del>
      <w:del w:id="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of</w:delText>
        </w:r>
      </w:del>
      <w:del w:id="3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dot product of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column</w:delText>
        </w:r>
      </w:del>
      <w:del w:id="42" w:author="PR Preview" w:date="2026-01-01T00:00:00Z">
        <w:r>
          <w:delText xml:space="preserve"> </w:delText>
        </w:r>
      </w:del>
      <m:oMath>
        <m:r>
          <m:t>i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and column</w:delText>
        </w:r>
      </w:del>
      <w:del w:id="45" w:author="PR Preview" w:date="2026-01-01T00:00:00Z">
        <w:r>
          <w:delText xml:space="preserve"> </w:delText>
        </w:r>
      </w:del>
      <m:oMath>
        <m:r>
          <m:t>j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of</w:delText>
        </w:r>
      </w:del>
      <w:del w:id="48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49" w:author="PR Preview" w:date="2026-01-01T00:00:00Z">
        <w:r>
          <w:delText xml:space="preserve">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so</w:delText>
        </w:r>
      </w:del>
      <w:del w:id="5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says that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the columns of</w:delText>
        </w:r>
      </w:del>
      <w:del w:id="5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are orthonormal (</w:delText>
        </w:r>
      </w:del>
      <w:hyperlink r:id="rId48">
        <w:del w:id="60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61" w:author="PR Preview" w:date="2026-01-01T00:00:00Z">
        <w:r>
          <w:delText xml:space="preserve">).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For a square matrix,</w:delText>
        </w:r>
      </w:del>
      <w:del w:id="6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also implies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68" w:author="PR Preview" w:date="2026-01-01T00:00:00Z">
        <w:r>
          <w:delText xml:space="preserve">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so</w:delText>
        </w:r>
      </w:del>
      <w:del w:id="7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(</w:delText>
        </w:r>
      </w:del>
      <w:hyperlink w:anchor="def-matrix-inverse">
        <w:del w:id="7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75" w:author="PR Preview" w:date="2026-01-01T00:00:00Z">
        <w:r>
          <w:delText xml:space="preserve">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(Banerjee and Roy 2014, chap. 8, Theorem 8.1 and Definition 8.1, p. 209)</w:delText>
        </w:r>
      </w:del>
      <w:del w:id="78" w:author="PR Preview" w:date="2026-01-01T00:00:00Z">
        <w:r>
          <w:delText xml:space="preserve">.</w:delText>
        </w:r>
      </w:del>
    </w:p>
    <w:p>
      <w:pPr>
        <w:pStyle w:val="BodyText"/>
      </w:pPr>
      <w:ins w:id="79" w:author="PR Preview" w:date="2026-01-01T00:00:00Z">
        <w:r>
          <w:rPr>
            <w:i/>
            <w:iCs/>
          </w:rPr>
          <w:t xml:space="preserve">Remark 5</w:t>
        </w:r>
      </w:ins>
      <w:ins w:id="80" w:author="PR Preview" w:date="2026-01-01T00:00:00Z">
        <w:r>
          <w:t xml:space="preserve"> (The columns of an orthogonal matrix are orthonormal). </w:t>
        </w:r>
      </w:ins>
      <w:ins w:id="81" w:author="PR Preview" w:date="2026-01-01T00:00:00Z">
        <w:r>
          <w:t xml:space="preserve">Entry</w:t>
        </w:r>
      </w:ins>
      <w:ins w:id="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</w:t>
        </w:r>
      </w:ins>
      <w:ins w:id="85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is the dot product of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column</w:t>
        </w:r>
      </w:ins>
      <w:ins w:id="90" w:author="PR Preview" w:date="2026-01-01T00:00:00Z">
        <w:r>
          <w:t xml:space="preserve"> </w:t>
        </w:r>
      </w:ins>
      <m:oMath>
        <m:r>
          <m:t>i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and column</w:t>
        </w:r>
      </w:ins>
      <w:ins w:id="93" w:author="PR Preview" w:date="2026-01-01T00:00:00Z">
        <w:r>
          <w:t xml:space="preserve"> </w:t>
        </w:r>
      </w:ins>
      <m:oMath>
        <m:r>
          <m:t>j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of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so</w:t>
        </w:r>
      </w:ins>
      <w:ins w:id="10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says that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 columns of</w:t>
        </w:r>
      </w:ins>
      <w:ins w:id="10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are orthonormal (</w:t>
        </w:r>
      </w:ins>
      <w:hyperlink r:id="rId48">
        <w:ins w:id="108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109" w:author="PR Preview" w:date="2026-01-01T00:00:00Z">
        <w:r>
          <w:t xml:space="preserve">).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a square matrix,</w:t>
        </w:r>
      </w:ins>
      <w:ins w:id="11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also implies</w:t>
        </w:r>
      </w:ins>
      <w:ins w:id="11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16" w:author="PR Preview" w:date="2026-01-01T00:00:00Z">
        <w:r>
          <w:t xml:space="preserve">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so</w:t>
        </w:r>
      </w:ins>
      <w:ins w:id="11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(</w:t>
        </w:r>
      </w:ins>
      <w:hyperlink w:anchor="def-matrix-inverse">
        <w:ins w:id="12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23" w:author="PR Preview" w:date="2026-01-01T00:00:00Z">
        <w:r>
          <w:t xml:space="preserve">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(Banerjee and Roy 2014, chap. 8, Theorem 8.1 and Definition 8.1, p. 209)</w:t>
        </w:r>
      </w:ins>
      <w:ins w:id="126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del w:id="127" w:author="PR Preview" w:date="2026-01-01T00:00:00Z">
        <w:r>
          <w:rPr>
            <w:i/>
            <w:iCs/>
          </w:rPr>
          <w:delText xml:space="preserve">Remark 8</w:delText>
        </w:r>
      </w:del>
      <w:del w:id="128" w:author="PR Preview" w:date="2026-01-01T00:00:00Z">
        <w:r>
          <w:delText xml:space="preserve"> (The matrix inner product as a dot product). </w:delText>
        </w:r>
      </w:del>
      <w:hyperlink w:anchor="thm-matrix-inner-product-entries">
        <w:del w:id="12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says that the matrix inner product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 the dot product (</w:delText>
        </w:r>
      </w:del>
      <w:hyperlink r:id="rId75">
        <w:del w:id="134" w:author="PR Preview" w:date="2026-01-01T00:00:00Z">
          <w:r>
            <w:rPr>
              <w:rStyle w:val="Hyperlink"/>
            </w:rPr>
            <w:delText xml:space="preserve">Definition 7 in Vectors</w:delText>
          </w:r>
        </w:del>
      </w:hyperlink>
      <w:del w:id="135" w:author="PR Preview" w:date="2026-01-01T00:00:00Z">
        <w:r>
          <w:delText xml:space="preserve">) of the two matrices’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entries, each listed as one vector of length</w:delText>
        </w:r>
      </w:del>
      <w:del w:id="138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with both matrices’ entries listed in the same order.</w:delText>
        </w:r>
      </w:del>
    </w:p>
    <w:p>
      <w:pPr>
        <w:pStyle w:val="FirstParagraph"/>
      </w:pPr>
      <w:ins w:id="142" w:author="PR Preview" w:date="2026-01-01T00:00:00Z">
        <w:r>
          <w:rPr>
            <w:i/>
            <w:iCs/>
          </w:rPr>
          <w:t xml:space="preserve">Remark 8</w:t>
        </w:r>
      </w:ins>
      <w:ins w:id="143" w:author="PR Preview" w:date="2026-01-01T00:00:00Z">
        <w:r>
          <w:t xml:space="preserve"> (The matrix inner product as a dot product). </w:t>
        </w:r>
      </w:ins>
      <w:hyperlink w:anchor="thm-matrix-inner-product-entries">
        <w:ins w:id="14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says that the matrix inner product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is the dot product (</w:t>
        </w:r>
      </w:ins>
      <w:hyperlink r:id="rId75">
        <w:ins w:id="149" w:author="PR Preview" w:date="2026-01-01T00:00:00Z">
          <w:r>
            <w:rPr>
              <w:rStyle w:val="Hyperlink"/>
            </w:rPr>
            <w:t xml:space="preserve">Definition 8 in Vectors</w:t>
          </w:r>
        </w:ins>
      </w:hyperlink>
      <w:ins w:id="150" w:author="PR Preview" w:date="2026-01-01T00:00:00Z">
        <w:r>
          <w:t xml:space="preserve">) of the two matrices’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entries, each listed as one vector of length</w:t>
        </w:r>
      </w:ins>
      <w:ins w:id="153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154" w:author="PR Preview" w:date="2026-01-01T00:00:00Z">
        <w:r>
          <w:t xml:space="preserve">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with both matrices’ entries listed in the same order.</w:t>
        </w:r>
      </w:ins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del w:id="157" w:author="PR Preview" w:date="2026-01-01T00:00:00Z">
        <w:r>
          <w:rPr>
            <w:i/>
            <w:iCs/>
          </w:rPr>
          <w:delText xml:space="preserve">Remark 9</w:delText>
        </w:r>
      </w:del>
      <w:del w:id="158" w:author="PR Preview" w:date="2026-01-01T00:00:00Z">
        <w:r>
          <w:delText xml:space="preserve"> (The Frobenius norm is the Euclidean norm of the entries). </w:delText>
        </w:r>
      </w:del>
      <w:del w:id="159" w:author="PR Preview" w:date="2026-01-01T00:00:00Z">
        <w:r>
          <w:delText xml:space="preserve">By</w:delText>
        </w:r>
      </w:del>
      <w:del w:id="160" w:author="PR Preview" w:date="2026-01-01T00:00:00Z">
        <w:r>
          <w:delText xml:space="preserve"> </w:delText>
        </w:r>
      </w:del>
      <w:hyperlink w:anchor="thm-matrix-inner-product-entries">
        <w:del w:id="161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62" w:author="PR Preview" w:date="2026-01-01T00:00:00Z">
        <w:r>
          <w:delText xml:space="preserve">,</w:delText>
        </w:r>
      </w:del>
      <w:del w:id="1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a sum of squares, so the square root is always defined.</w:delText>
        </w:r>
      </w:del>
      <w:del w:id="1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is the Euclidean norm (</w:delText>
        </w:r>
      </w:del>
      <w:hyperlink r:id="rId79">
        <w:del w:id="170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171" w:author="PR Preview" w:date="2026-01-01T00:00:00Z">
        <w:r>
          <w:delText xml:space="preserve">)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of the entries of</w:delText>
        </w:r>
      </w:del>
      <w:del w:id="17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5" w:author="PR Preview" w:date="2026-01-01T00:00:00Z">
        <w:r>
          <w:delText xml:space="preserve">, listed as one vector of length</w:delText>
        </w:r>
      </w:del>
      <w:del w:id="176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(Banerjee and Roy 2014, chap. 15, Definition 15.4, p. 492)</w:delText>
        </w:r>
      </w:del>
      <w:del w:id="179" w:author="PR Preview" w:date="2026-01-01T00:00:00Z">
        <w:r>
          <w:delText xml:space="preserve">.</w:delText>
        </w:r>
      </w:del>
    </w:p>
    <w:p>
      <w:pPr>
        <w:pStyle w:val="BodyText"/>
      </w:pPr>
      <w:ins w:id="180" w:author="PR Preview" w:date="2026-01-01T00:00:00Z">
        <w:r>
          <w:rPr>
            <w:i/>
            <w:iCs/>
          </w:rPr>
          <w:t xml:space="preserve">Remark 9</w:t>
        </w:r>
      </w:ins>
      <w:ins w:id="181" w:author="PR Preview" w:date="2026-01-01T00:00:00Z">
        <w:r>
          <w:t xml:space="preserve"> (The Frobenius norm is the Euclidean norm of the entries). </w:t>
        </w:r>
      </w:ins>
      <w:ins w:id="182" w:author="PR Preview" w:date="2026-01-01T00:00:00Z">
        <w:r>
          <w:t xml:space="preserve">By</w:t>
        </w:r>
      </w:ins>
      <w:ins w:id="183" w:author="PR Preview" w:date="2026-01-01T00:00:00Z">
        <w:r>
          <w:t xml:space="preserve"> </w:t>
        </w:r>
      </w:ins>
      <w:hyperlink w:anchor="thm-matrix-inner-product-entries">
        <w:ins w:id="18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85" w:author="PR Preview" w:date="2026-01-01T00:00:00Z">
        <w:r>
          <w:t xml:space="preserve">,</w:t>
        </w:r>
      </w:ins>
      <w:ins w:id="18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ins w:id="187" w:author="PR Preview" w:date="2026-01-01T00:00:00Z">
        <w:r>
          <w:t xml:space="preserve">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 sum of squares, so the square root is always defined.</w:t>
        </w:r>
      </w:ins>
      <w:ins w:id="19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the Euclidean norm (</w:t>
        </w:r>
      </w:ins>
      <w:hyperlink r:id="rId79">
        <w:ins w:id="193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194" w:author="PR Preview" w:date="2026-01-01T00:00:00Z">
        <w:r>
          <w:t xml:space="preserve">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of the entries of</w:t>
        </w:r>
      </w:ins>
      <w:ins w:id="1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8" w:author="PR Preview" w:date="2026-01-01T00:00:00Z">
        <w:r>
          <w:t xml:space="preserve">, listed as one vector of length</w:t>
        </w:r>
      </w:ins>
      <w:ins w:id="199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(Banerjee and Roy 2014, chap. 15, Definition 15.4, p. 492)</w:t>
        </w:r>
      </w:ins>
      <w:ins w:id="202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del w:id="203" w:author="PR Preview" w:date="2026-01-01T00:00:00Z">
        <w:r>
          <w:rPr>
            <w:b/>
            <w:bCs/>
          </w:rPr>
          <w:delText xml:space="preserve">Example 24 (An eigendecomposition of a</w:delText>
        </w:r>
      </w:del>
      <w:del w:id="204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05" w:author="PR Preview" w:date="2026-01-01T00:00:00Z">
        <w:r>
          <w:rPr>
            <w:b/>
            <w:bCs/>
          </w:rPr>
          <w:delText xml:space="preserve"> </w:delText>
        </w:r>
      </w:del>
      <w:del w:id="206" w:author="PR Preview" w:date="2026-01-01T00:00:00Z">
        <w:r>
          <w:rPr>
            <w:b/>
            <w:bCs/>
          </w:rPr>
          <w:delText xml:space="preserve">symmetric matrix)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For</w:delText>
        </w:r>
      </w:del>
      <w:del w:id="2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10" w:author="PR Preview" w:date="2026-01-01T00:00:00Z">
        <w:r>
          <w:delText xml:space="preserve">,</w:delText>
        </w:r>
      </w:del>
      <w:del w:id="211" w:author="PR Preview" w:date="2026-01-01T00:00:00Z">
        <w:r>
          <w:delText xml:space="preserve"> </w:delText>
        </w:r>
      </w:del>
      <w:hyperlink w:anchor="exm-eigenvalue">
        <w:del w:id="212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found the eigenvectors</w:delText>
        </w:r>
      </w:del>
      <w:del w:id="2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for</w:delText>
        </w:r>
      </w:del>
      <w:del w:id="218" w:author="PR Preview" w:date="2026-01-01T00:00:00Z">
        <w:r>
          <w:delText xml:space="preserve"> </w:delText>
        </w:r>
      </w:del>
      <m:oMath>
        <m:r>
          <m:t>3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and</w:delText>
        </w:r>
      </w:del>
      <w:del w:id="2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for</w:delText>
        </w:r>
      </w:del>
      <w:del w:id="224" w:author="PR Preview" w:date="2026-01-01T00:00:00Z">
        <w:r>
          <w:delText xml:space="preserve"> </w:delText>
        </w:r>
      </w:del>
      <m:oMath>
        <m:r>
          <m:t>1</m:t>
        </m:r>
      </m:oMath>
      <w:del w:id="225" w:author="PR Preview" w:date="2026-01-01T00:00:00Z">
        <w:r>
          <w:delText xml:space="preserve">.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They are orthogonal (</w:delText>
        </w:r>
      </w:del>
      <w:hyperlink r:id="rId99">
        <w:del w:id="228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229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230" w:author="PR Preview" w:date="2026-01-01T00:00:00Z">
        <w:r>
          <w:delText xml:space="preserve">Each has norm</w:delText>
        </w:r>
      </w:del>
      <w:del w:id="231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(</w:delText>
        </w:r>
      </w:del>
      <w:hyperlink r:id="rId79">
        <w:del w:id="234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235" w:author="PR Preview" w:date="2026-01-01T00:00:00Z">
        <w:r>
          <w:delText xml:space="preserve">),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so dividing each by</w:delText>
        </w:r>
      </w:del>
      <w:del w:id="238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gives two orthonormal eigenvectors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(</w:delText>
        </w:r>
      </w:del>
      <w:hyperlink r:id="rId48">
        <w:del w:id="243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244" w:author="PR Preview" w:date="2026-01-01T00:00:00Z">
        <w:r>
          <w:delText xml:space="preserve">).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Put them in the columns of</w:delText>
        </w:r>
      </w:del>
      <w:del w:id="2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48" w:author="PR Preview" w:date="2026-01-01T00:00:00Z">
        <w:r>
          <w:delText xml:space="preserve">,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and the matching eigenvalues on the diagonal of</w:delText>
        </w:r>
      </w:del>
      <w:del w:id="251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252" w:author="PR Preview" w:date="2026-01-01T00:00:00Z">
        <w:r>
          <w:delText xml:space="preserve">:</w:delText>
        </w:r>
      </w:del>
    </w:p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Example 24 (An eigendecomposition of a</w:t>
        </w:r>
      </w:ins>
      <w:ins w:id="254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55" w:author="PR Preview" w:date="2026-01-01T00:00:00Z">
        <w:r>
          <w:rPr>
            <w:b/>
            <w:bCs/>
          </w:rP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symmetric matrix)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For</w:t>
        </w:r>
      </w:ins>
      <w:ins w:id="25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60" w:author="PR Preview" w:date="2026-01-01T00:00:00Z">
        <w:r>
          <w:t xml:space="preserve">,</w:t>
        </w:r>
      </w:ins>
      <w:ins w:id="261" w:author="PR Preview" w:date="2026-01-01T00:00:00Z">
        <w:r>
          <w:t xml:space="preserve"> </w:t>
        </w:r>
      </w:ins>
      <w:hyperlink w:anchor="exm-eigenvalue">
        <w:ins w:id="262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found the eigenvectors</w:t>
        </w:r>
      </w:ins>
      <w:ins w:id="2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for</w:t>
        </w:r>
      </w:ins>
      <w:ins w:id="268" w:author="PR Preview" w:date="2026-01-01T00:00:00Z">
        <w:r>
          <w:t xml:space="preserve"> </w:t>
        </w:r>
      </w:ins>
      <m:oMath>
        <m:r>
          <m:t>3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</w:t>
        </w:r>
      </w:ins>
      <w:ins w:id="2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for</w:t>
        </w:r>
      </w:ins>
      <w:ins w:id="274" w:author="PR Preview" w:date="2026-01-01T00:00:00Z">
        <w:r>
          <w:t xml:space="preserve"> </w:t>
        </w:r>
      </w:ins>
      <m:oMath>
        <m:r>
          <m:t>1</m:t>
        </m:r>
      </m:oMath>
      <w:ins w:id="275" w:author="PR Preview" w:date="2026-01-01T00:00:00Z">
        <w:r>
          <w:t xml:space="preserve">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They are orthogonal (</w:t>
        </w:r>
      </w:ins>
      <w:hyperlink r:id="rId99">
        <w:ins w:id="278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7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280" w:author="PR Preview" w:date="2026-01-01T00:00:00Z">
        <w:r>
          <w:t xml:space="preserve">Each has norm</w:t>
        </w:r>
      </w:ins>
      <w:ins w:id="28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(</w:t>
        </w:r>
      </w:ins>
      <w:hyperlink r:id="rId79">
        <w:ins w:id="284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85" w:author="PR Preview" w:date="2026-01-01T00:00:00Z">
        <w:r>
          <w:t xml:space="preserve">),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so dividing each by</w:t>
        </w:r>
      </w:ins>
      <w:ins w:id="28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gives two orthonormal eigenvectors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(</w:t>
        </w:r>
      </w:ins>
      <w:hyperlink r:id="rId48">
        <w:ins w:id="293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294" w:author="PR Preview" w:date="2026-01-01T00:00:00Z">
        <w:r>
          <w:t xml:space="preserve">).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Put them in the columns of</w:t>
        </w:r>
      </w:ins>
      <w:ins w:id="29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98" w:author="PR Preview" w:date="2026-01-01T00:00:00Z">
        <w:r>
          <w:t xml:space="preserve">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and the matching eigenvalues on the diagonal of</w:t>
        </w:r>
      </w:ins>
      <w:ins w:id="301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del w:id="303" w:author="PR Preview" w:date="2026-01-01T00:00:00Z">
        <w:r>
          <w:rPr>
            <w:b/>
            <w:bCs/>
          </w:rPr>
          <w:delText xml:space="preserve">The eigenvectors.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Write</w:delText>
        </w:r>
      </w:del>
      <w:del w:id="3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for column</w:delText>
        </w:r>
      </w:del>
      <w:del w:id="309" w:author="PR Preview" w:date="2026-01-01T00:00:00Z">
        <w:r>
          <w:delText xml:space="preserve"> </w:delText>
        </w:r>
      </w:del>
      <m:oMath>
        <m:r>
          <m:t>i</m:t>
        </m:r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of</w:delText>
        </w:r>
      </w:del>
      <w:del w:id="312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313" w:author="PR Preview" w:date="2026-01-01T00:00:00Z">
        <w:r>
          <w:delText xml:space="preserve">,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and</w:delText>
        </w:r>
      </w:del>
      <w:del w:id="3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for the indicator vector (</w:delText>
        </w:r>
      </w:del>
      <w:hyperlink r:id="rId111">
        <w:del w:id="319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320" w:author="PR Preview" w:date="2026-01-01T00:00:00Z">
        <w:r>
          <w:delText xml:space="preserve">) of length</w:delText>
        </w:r>
      </w:del>
      <w:del w:id="321" w:author="PR Preview" w:date="2026-01-01T00:00:00Z">
        <w:r>
          <w:delText xml:space="preserve"> </w:delText>
        </w:r>
      </w:del>
      <m:oMath>
        <m:r>
          <m:t>p</m:t>
        </m:r>
      </m:oMath>
      <w:del w:id="322" w:author="PR Preview" w:date="2026-01-01T00:00:00Z">
        <w:r>
          <w:delText xml:space="preserve">.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Column</w:delText>
        </w:r>
      </w:del>
      <w:del w:id="325" w:author="PR Preview" w:date="2026-01-01T00:00:00Z">
        <w:r>
          <w:delText xml:space="preserve"> </w:delText>
        </w:r>
      </w:del>
      <m:oMath>
        <m:r>
          <m:t>i</m:t>
        </m:r>
      </m:oMath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of</w:delText>
        </w:r>
      </w:del>
      <w:del w:id="32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says</w:delText>
        </w:r>
      </w:del>
      <w:del w:id="33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332" w:author="PR Preview" w:date="2026-01-01T00:00:00Z">
        <w:r>
          <w:delText xml:space="preserve">.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Then</w:delText>
        </w:r>
      </w:del>
    </w:p>
    <w:p>
      <w:pPr>
        <w:pStyle w:val="BodyText"/>
      </w:pPr>
      <w:ins w:id="335" w:author="PR Preview" w:date="2026-01-01T00:00:00Z">
        <w:r>
          <w:rPr>
            <w:b/>
            <w:bCs/>
          </w:rPr>
          <w:t xml:space="preserve">The eigenvectors.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Write</w:t>
        </w:r>
      </w:ins>
      <w:ins w:id="33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for column</w:t>
        </w:r>
      </w:ins>
      <w:ins w:id="341" w:author="PR Preview" w:date="2026-01-01T00:00:00Z">
        <w:r>
          <w:t xml:space="preserve"> </w:t>
        </w:r>
      </w:ins>
      <m:oMath>
        <m:r>
          <m:t>i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of</w:t>
        </w:r>
      </w:ins>
      <w:ins w:id="344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</w:t>
        </w:r>
      </w:ins>
      <w:ins w:id="3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for the indicator vector (</w:t>
        </w:r>
      </w:ins>
      <w:hyperlink r:id="rId111">
        <w:ins w:id="351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352" w:author="PR Preview" w:date="2026-01-01T00:00:00Z">
        <w:r>
          <w:t xml:space="preserve">) of length</w:t>
        </w:r>
      </w:ins>
      <w:ins w:id="353" w:author="PR Preview" w:date="2026-01-01T00:00:00Z">
        <w:r>
          <w:t xml:space="preserve"> </w:t>
        </w:r>
      </w:ins>
      <m:oMath>
        <m:r>
          <m:t>p</m:t>
        </m:r>
      </m:oMath>
      <w:ins w:id="354" w:author="PR Preview" w:date="2026-01-01T00:00:00Z">
        <w:r>
          <w:t xml:space="preserve">.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Column</w:t>
        </w:r>
      </w:ins>
      <w:ins w:id="357" w:author="PR Preview" w:date="2026-01-01T00:00:00Z">
        <w:r>
          <w:t xml:space="preserve"> </w:t>
        </w:r>
      </w:ins>
      <m:oMath>
        <m:r>
          <m:t>i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of</w:t>
        </w:r>
      </w:ins>
      <w:ins w:id="36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says</w:t>
        </w:r>
      </w:ins>
      <w:ins w:id="36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364" w:author="PR Preview" w:date="2026-01-01T00:00:00Z">
        <w:r>
          <w:t xml:space="preserve">.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del w:id="367" w:author="PR Preview" w:date="2026-01-01T00:00:00Z">
        <w:r>
          <w:delText xml:space="preserve">The identity matrix</w:delText>
        </w:r>
      </w:del>
      <w:del w:id="36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(</w:delText>
        </w:r>
      </w:del>
      <w:hyperlink r:id="rId11">
        <w:del w:id="371" w:author="PR Preview" w:date="2026-01-01T00:00:00Z">
          <w:r>
            <w:rPr>
              <w:rStyle w:val="Hyperlink"/>
            </w:rPr>
            <w:delText xml:space="preserve">Definition 10 in Matrices</w:delText>
          </w:r>
        </w:del>
      </w:hyperlink>
      <w:del w:id="372" w:author="PR Preview" w:date="2026-01-01T00:00:00Z">
        <w:r>
          <w:delText xml:space="preserve">) is positive definite:</w:delText>
        </w:r>
      </w:del>
      <w:del w:id="37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374" w:author="PR Preview" w:date="2026-01-01T00:00:00Z">
        <w:r>
          <w:delText xml:space="preserve">,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which is positive unless every</w:delText>
        </w:r>
      </w:del>
      <w:del w:id="3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is</w:delText>
        </w:r>
      </w:del>
      <w:del w:id="380" w:author="PR Preview" w:date="2026-01-01T00:00:00Z">
        <w:r>
          <w:delText xml:space="preserve"> </w:delText>
        </w:r>
      </w:del>
      <m:oMath>
        <m:r>
          <m:t>0</m:t>
        </m:r>
      </m:oMath>
      <w:del w:id="381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w:ins w:id="382" w:author="PR Preview" w:date="2026-01-01T00:00:00Z">
        <w:r>
          <w:t xml:space="preserve">The identity matrix</w:t>
        </w:r>
      </w:ins>
      <w:ins w:id="38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(</w:t>
        </w:r>
      </w:ins>
      <w:hyperlink r:id="rId11">
        <w:ins w:id="386" w:author="PR Preview" w:date="2026-01-01T00:00:00Z">
          <w:r>
            <w:rPr>
              <w:rStyle w:val="Hyperlink"/>
            </w:rPr>
            <w:t xml:space="preserve">Definition 12 in Matrices</w:t>
          </w:r>
        </w:ins>
      </w:hyperlink>
      <w:ins w:id="387" w:author="PR Preview" w:date="2026-01-01T00:00:00Z">
        <w:r>
          <w:t xml:space="preserve">) is positive definite:</w:t>
        </w:r>
      </w:ins>
      <w:ins w:id="388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ins w:id="389" w:author="PR Preview" w:date="2026-01-01T00:00:00Z">
        <w:r>
          <w:t xml:space="preserve">,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which is positive unless every</w:t>
        </w:r>
      </w:ins>
      <w:ins w:id="3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is</w:t>
        </w:r>
      </w:ins>
      <w:ins w:id="395" w:author="PR Preview" w:date="2026-01-01T00:00:00Z">
        <w:r>
          <w:t xml:space="preserve"> </w:t>
        </w:r>
      </w:ins>
      <m:oMath>
        <m:r>
          <m:t>0</m:t>
        </m:r>
      </m:oMath>
      <w:ins w:id="396" w:author="PR Preview" w:date="2026-01-01T00:00:00Z">
        <w:r>
          <w:t xml:space="preserve">.</w:t>
        </w:r>
      </w:ins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del w:id="397" w:author="PR Preview" w:date="2026-01-01T00:00:00Z">
        <w:r>
          <w:delText xml:space="preserve">Conversely, every inner product on</w:delText>
        </w:r>
      </w:del>
      <w:del w:id="39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has this form for a unique symmetric positive definite matrix</w:delText>
        </w:r>
      </w:del>
      <w:del w:id="4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2" w:author="PR Preview" w:date="2026-01-01T00:00:00Z">
        <w:r>
          <w:delText xml:space="preserve">, whose</w:delText>
        </w:r>
      </w:del>
      <w:del w:id="4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entry is</w:delText>
        </w:r>
      </w:del>
      <w:del w:id="40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del w:id="407" w:author="PR Preview" w:date="2026-01-01T00:00:00Z">
        <w:r>
          <w:delText xml:space="preserve">, where</w:delText>
        </w:r>
      </w:del>
      <w:del w:id="4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are the standard basis vectors (</w:delText>
        </w:r>
      </w:del>
      <w:hyperlink r:id="rId111">
        <w:del w:id="411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412" w:author="PR Preview" w:date="2026-01-01T00:00:00Z">
        <w:r>
          <w:delText xml:space="preserve">).</w:delText>
        </w:r>
      </w:del>
    </w:p>
    <w:p>
      <w:pPr>
        <w:pStyle w:val="BodyText"/>
      </w:pPr>
      <w:ins w:id="413" w:author="PR Preview" w:date="2026-01-01T00:00:00Z">
        <w:r>
          <w:t xml:space="preserve">Conversely, every inner product on</w:t>
        </w:r>
      </w:ins>
      <w:ins w:id="41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has this form for a unique symmetric positive definite matrix</w:t>
        </w:r>
      </w:ins>
      <w:ins w:id="41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18" w:author="PR Preview" w:date="2026-01-01T00:00:00Z">
        <w:r>
          <w:t xml:space="preserve">, whose</w:t>
        </w:r>
      </w:ins>
      <w:ins w:id="4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entry is</w:t>
        </w:r>
      </w:ins>
      <w:ins w:id="42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ins w:id="423" w:author="PR Preview" w:date="2026-01-01T00:00:00Z">
        <w:r>
          <w:t xml:space="preserve">, where</w:t>
        </w:r>
      </w:ins>
      <w:ins w:id="42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are the standard basis vectors (</w:t>
        </w:r>
      </w:ins>
      <w:hyperlink r:id="rId111">
        <w:ins w:id="427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428" w:author="PR Preview" w:date="2026-01-01T00:00:00Z">
        <w:r>
          <w:t xml:space="preserve">).</w:t>
        </w:r>
      </w:ins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29" w:author="PR Preview" w:date="2026-01-01T00:00:00Z">
        <w:r>
          <w:delText xml:space="preserve">For the converse, let</w:delText>
        </w:r>
      </w:del>
      <w:del w:id="430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be any inner product on</w:delText>
        </w:r>
      </w:del>
      <w:del w:id="43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34" w:author="PR Preview" w:date="2026-01-01T00:00:00Z">
        <w:r>
          <w:delText xml:space="preserve">.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Any vectors</w:delText>
        </w:r>
      </w:del>
      <w:del w:id="4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can be written in the standard basis as</w:delText>
        </w:r>
      </w:del>
      <w:del w:id="4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</w:delText>
        </w:r>
      </w:del>
      <w:del w:id="4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(</w:delText>
        </w:r>
      </w:del>
      <w:hyperlink r:id="rId135">
        <w:del w:id="446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447" w:author="PR Preview" w:date="2026-01-01T00:00:00Z">
        <w:r>
          <w:delText xml:space="preserve">,</w:delText>
        </w:r>
      </w:del>
      <w:del w:id="448" w:author="PR Preview" w:date="2026-01-01T00:00:00Z">
        <w:r>
          <w:delText xml:space="preserve"> </w:delText>
        </w:r>
      </w:del>
      <w:hyperlink r:id="rId111">
        <w:del w:id="449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450" w:author="PR Preview" w:date="2026-01-01T00:00:00Z">
        <w:r>
          <w:delText xml:space="preserve">).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By linearity in both slots (</w:delText>
        </w:r>
      </w:del>
      <w:hyperlink r:id="rId136">
        <w:del w:id="453" w:author="PR Preview" w:date="2026-01-01T00:00:00Z">
          <w:r>
            <w:rPr>
              <w:rStyle w:val="Hyperlink"/>
            </w:rPr>
            <w:delText xml:space="preserve">Remark 1 in Inner Products and Orthogonality</w:delText>
          </w:r>
        </w:del>
      </w:hyperlink>
      <w:del w:id="454" w:author="PR Preview" w:date="2026-01-01T00:00:00Z">
        <w:r>
          <w:delText xml:space="preserve">):</w:delText>
        </w:r>
      </w:del>
    </w:p>
    <w:p>
      <w:pPr>
        <w:pStyle w:val="FirstParagraph"/>
      </w:pPr>
      <w:ins w:id="455" w:author="PR Preview" w:date="2026-01-01T00:00:00Z">
        <w:r>
          <w:t xml:space="preserve">For the converse, let</w:t>
        </w:r>
      </w:ins>
      <w:ins w:id="456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be any inner product on</w:t>
        </w:r>
      </w:ins>
      <w:ins w:id="45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Any vectors</w:t>
        </w:r>
      </w:ins>
      <w:ins w:id="4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can be written in the standard basis as</w:t>
        </w:r>
      </w:ins>
      <w:ins w:id="4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and</w:t>
        </w:r>
      </w:ins>
      <w:ins w:id="4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(</w:t>
        </w:r>
      </w:ins>
      <w:hyperlink r:id="rId135">
        <w:ins w:id="472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hyperlink r:id="rId111">
        <w:ins w:id="475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476" w:author="PR Preview" w:date="2026-01-01T00:00:00Z">
        <w:r>
          <w:t xml:space="preserve">).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By linearity in both slots (</w:t>
        </w:r>
      </w:ins>
      <w:hyperlink r:id="rId136">
        <w:ins w:id="479" w:author="PR Preview" w:date="2026-01-01T00:00:00Z">
          <w:r>
            <w:rPr>
              <w:rStyle w:val="Hyperlink"/>
            </w:rPr>
            <w:t xml:space="preserve">Remark 1 in Inner Products and Orthogonality</w:t>
          </w:r>
        </w:ins>
      </w:hyperlink>
      <w:ins w:id="48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2026-10-15T09:52:26Z</dcterms:created>
  <dcterms:modified xsi:type="dcterms:W3CDTF">2026-10-15T09:52:26Z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