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Indicator Functions</w:t>
        </w:r>
      </w:ins>
    </w:p>
    <w:p>
      <w:pPr>
        <w:pStyle w:val="Date"/>
      </w:pPr>
      <w:ins w:id="2" w:author="PR Preview" w:date="2026-01-01T00:00:00Z">
        <w:r>
          <w:t xml:space="preserve">Last modified: 2026-10-15 20:42:14 (PDT)</w:t>
        </w:r>
      </w:ins>
    </w:p>
    <w:bookmarkStart w:id="52" w:name="sec-indicator-functions"/>
    <w:p>
      <w:pPr>
        <w:pStyle w:val="Heading2"/>
      </w:pPr>
      <w:ins w:id="3" w:author="PR Preview" w:date="2026-01-01T00:00:00Z">
        <w:r>
          <w:t xml:space="preserve">1 Indicator functions</w:t>
        </w:r>
      </w:ins>
    </w:p>
    <w:p>
      <w:pPr>
        <w:pStyle w:val="FirstParagraph"/>
      </w:pPr>
      <w:ins w:id="4" w:author="PR Preview" w:date="2026-01-01T00:00:00Z">
        <w:r>
          <w:t xml:space="preserve">An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rPr>
            <w:b/>
            <w:bCs/>
          </w:rPr>
          <w:t xml:space="preserve">indicator function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is a mathematical function that signals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whether an element belongs to a specified set,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or whether a given logical condition is satisfied.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In statistics and epidemiology,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indicator functions are ubiquitous.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They represent:</w:t>
        </w:r>
      </w:ins>
    </w:p>
    <w:p>
      <w:pPr>
        <w:pStyle w:val="Compact"/>
        <w:numPr>
          <w:ilvl w:val="0"/>
          <w:numId w:val="1001"/>
        </w:numPr>
      </w:pPr>
      <w:ins w:id="19" w:author="PR Preview" w:date="2026-01-01T00:00:00Z">
        <w:r>
          <w:t xml:space="preserve">binary variables, which take only the values</w:t>
        </w:r>
      </w:ins>
      <w:ins w:id="20" w:author="PR Preview" w:date="2026-01-01T00:00:00Z">
        <w:r>
          <w:t xml:space="preserve"> </w:t>
        </w:r>
      </w:ins>
      <m:oMath>
        <m:r>
          <m:t>0</m:t>
        </m:r>
      </m:oMath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and</w:t>
        </w:r>
      </w:ins>
      <w:ins w:id="23" w:author="PR Preview" w:date="2026-01-01T00:00:00Z">
        <w:r>
          <w:t xml:space="preserve"> </w:t>
        </w:r>
      </w:ins>
      <m:oMath>
        <m:r>
          <m:t>1</m:t>
        </m:r>
      </m:oMath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(</w:t>
        </w:r>
      </w:ins>
      <w:hyperlink w:anchor="def-binary-variable">
        <w:ins w:id="26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7" w:author="PR Preview" w:date="2026-01-01T00:00:00Z">
        <w:r>
          <w:t xml:space="preserve">);</w:t>
        </w:r>
      </w:ins>
    </w:p>
    <w:p>
      <w:pPr>
        <w:pStyle w:val="Compact"/>
        <w:numPr>
          <w:ilvl w:val="0"/>
          <w:numId w:val="1001"/>
        </w:numPr>
      </w:pPr>
      <w:ins w:id="28" w:author="PR Preview" w:date="2026-01-01T00:00:00Z">
        <w:r>
          <w:t xml:space="preserve">event and censoring indicators in survival analysis,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the study of the time until an event such as death,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where an observation is censored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when follow-up ends before its event is seen;</w:t>
        </w:r>
      </w:ins>
    </w:p>
    <w:p>
      <w:pPr>
        <w:pStyle w:val="Compact"/>
        <w:numPr>
          <w:ilvl w:val="0"/>
          <w:numId w:val="1001"/>
        </w:numPr>
      </w:pPr>
      <w:ins w:id="35" w:author="PR Preview" w:date="2026-01-01T00:00:00Z">
        <w:r>
          <w:t xml:space="preserve">membership in subpopulations;</w:t>
        </w:r>
      </w:ins>
    </w:p>
    <w:p>
      <w:pPr>
        <w:pStyle w:val="Compact"/>
        <w:numPr>
          <w:ilvl w:val="0"/>
          <w:numId w:val="1001"/>
        </w:numPr>
      </w:pPr>
      <w:ins w:id="36" w:author="PR Preview" w:date="2026-01-01T00:00:00Z">
        <w:r>
          <w:t xml:space="preserve">domain restrictions in integrals and sums.</w:t>
        </w:r>
      </w:ins>
    </w:p>
    <w:p>
      <w:pPr>
        <w:pStyle w:val="FirstParagraph"/>
      </w:pPr>
      <w:ins w:id="37" w:author="PR Preview" w:date="2026-01-01T00:00:00Z">
        <w:r>
          <w:t xml:space="preserve">Despite their conceptual simplicity,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notation for indicator functions varies substantially across textbooks,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research papers,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and subfields.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This section summarizes the principal notational conventions.</w:t>
        </w:r>
      </w:ins>
    </w:p>
    <w:bookmarkStart w:id="9" w:name="def-indicator-function"/>
    <w:p>
      <w:pPr>
        <w:pStyle w:val="BodyText"/>
      </w:pPr>
      <w:ins w:id="46" w:author="PR Preview" w:date="2026-01-01T00:00:00Z">
        <w:r>
          <w:rPr>
            <w:b/>
            <w:bCs/>
          </w:rPr>
          <w:t xml:space="preserve">Definition 1 (Indicator function (set indicator))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For any subset</w:t>
        </w:r>
      </w:ins>
      <w:ins w:id="4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of a universal set</w:t>
        </w:r>
      </w:ins>
      <w:ins w:id="52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53" w:author="PR Preview" w:date="2026-01-01T00:00:00Z">
        <w:r>
          <w:t xml:space="preserve">,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the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rPr>
            <w:b/>
            <w:bCs/>
          </w:rPr>
          <w:t xml:space="preserve">indicator function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of</w:t>
        </w:r>
      </w:ins>
      <w:ins w:id="60" w:author="PR Preview" w:date="2026-01-01T00:00:00Z">
        <w:r>
          <w:t xml:space="preserve"> </w:t>
        </w:r>
      </w:ins>
      <m:oMath>
        <m:r>
          <m:t>A</m:t>
        </m:r>
      </m:oMath>
      <w:ins w:id="61" w:author="PR Preview" w:date="2026-01-01T00:00:00Z">
        <w:r>
          <w:t xml:space="preserve">,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or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rPr>
            <w:b/>
            <w:bCs/>
          </w:rPr>
          <w:t xml:space="preserve">set indicator</w:t>
        </w:r>
      </w:ins>
      <w:ins w:id="66" w:author="PR Preview" w:date="2026-01-01T00:00:00Z">
        <w:r>
          <w:t xml:space="preserve">,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is the function</w:t>
        </w:r>
      </w:ins>
      <w:ins w:id="69" w:author="PR Preview" w:date="2026-01-01T00:00:00Z">
        <w:r>
          <w:t xml:space="preserve"> </w:t>
        </w:r>
      </w:ins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defined by: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ins w:id="72" w:author="PR Preview" w:date="2026-01-01T00:00:00Z">
        <w:r>
          <w:rPr>
            <w:b/>
            <w:bCs/>
          </w:rPr>
          <w:t xml:space="preserve">Definition 2 (Predicate indicator)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For any logical proposition or predicate</w:t>
        </w:r>
      </w:ins>
      <w:ins w:id="75" w:author="PR Preview" w:date="2026-01-01T00:00:00Z">
        <w:r>
          <w:t xml:space="preserve"> </w:t>
        </w:r>
      </w:ins>
      <m:oMath>
        <m:r>
          <m:t>P</m:t>
        </m:r>
      </m:oMath>
      <w:ins w:id="76" w:author="PR Preview" w:date="2026-01-01T00:00:00Z">
        <w:r>
          <w:t xml:space="preserve">,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the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rPr>
            <w:b/>
            <w:bCs/>
          </w:rPr>
          <w:t xml:space="preserve">indicator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of</w:t>
        </w:r>
      </w:ins>
      <w:ins w:id="83" w:author="PR Preview" w:date="2026-01-01T00:00:00Z">
        <w:r>
          <w:t xml:space="preserve"> </w:t>
        </w:r>
      </w:ins>
      <m:oMath>
        <m:r>
          <m:t>P</m:t>
        </m:r>
      </m:oMath>
      <w:ins w:id="84" w:author="PR Preview" w:date="2026-01-01T00:00:00Z">
        <w:r>
          <w:t xml:space="preserve">,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or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rPr>
            <w:b/>
            <w:bCs/>
          </w:rPr>
          <w:t xml:space="preserve">predicate indicator</w:t>
        </w:r>
      </w:ins>
      <w:ins w:id="89" w:author="PR Preview" w:date="2026-01-01T00:00:00Z">
        <w:r>
          <w:t xml:space="preserve">,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takes the value</w:t>
        </w:r>
      </w:ins>
      <w:ins w:id="92" w:author="PR Preview" w:date="2026-01-01T00:00:00Z">
        <w:r>
          <w:t xml:space="preserve"> </w:t>
        </w:r>
      </w:ins>
      <m:oMath>
        <m:r>
          <m:t>1</m:t>
        </m:r>
      </m:oMath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when</w:t>
        </w:r>
      </w:ins>
      <w:ins w:id="95" w:author="PR Preview" w:date="2026-01-01T00:00:00Z">
        <w:r>
          <w:t xml:space="preserve"> </w:t>
        </w:r>
      </w:ins>
      <m:oMath>
        <m:r>
          <m:t>P</m:t>
        </m:r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is true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and</w:t>
        </w:r>
      </w:ins>
      <w:ins w:id="100" w:author="PR Preview" w:date="2026-01-01T00:00:00Z">
        <w:r>
          <w:t xml:space="preserve"> </w:t>
        </w:r>
      </w:ins>
      <m:oMath>
        <m:r>
          <m:t>0</m:t>
        </m:r>
      </m:oMath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when</w:t>
        </w:r>
      </w:ins>
      <w:ins w:id="103" w:author="PR Preview" w:date="2026-01-01T00:00:00Z">
        <w:r>
          <w:t xml:space="preserve"> </w:t>
        </w:r>
      </w:ins>
      <m:oMath>
        <m:r>
          <m:t>P</m:t>
        </m:r>
      </m:oMath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is false: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ins w:id="106" w:author="PR Preview" w:date="2026-01-01T00:00:00Z">
        <w:r>
          <w:rPr>
            <w:b/>
            <w:bCs/>
          </w:rPr>
          <w:t xml:space="preserve">Example 1 (Evaluating set and predicate indicators)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Consider the real line</w:t>
        </w:r>
      </w:ins>
      <w:ins w:id="109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ins w:id="110" w:author="PR Preview" w:date="2026-01-01T00:00:00Z">
        <w:r>
          <w:t xml:space="preserve">,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the set of nonnegative numbers</w:t>
        </w:r>
      </w:ins>
      <w:ins w:id="11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114" w:author="PR Preview" w:date="2026-01-01T00:00:00Z">
        <w:r>
          <w:t xml:space="preserve">,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and a continuous</w:t>
        </w:r>
      </w:ins>
      <w:ins w:id="117" w:author="PR Preview" w:date="2026-01-01T00:00:00Z">
        <w:r>
          <w:t xml:space="preserve"> </w:t>
        </w:r>
      </w:ins>
      <w:hyperlink r:id="rId11">
        <w:ins w:id="118" w:author="PR Preview" w:date="2026-01-01T00:00:00Z">
          <w:r>
            <w:rPr>
              <w:rStyle w:val="Hyperlink"/>
            </w:rPr>
            <w:t xml:space="preserve">random variable</w:t>
          </w:r>
        </w:ins>
      </w:hyperlink>
      <w:ins w:id="119" w:author="PR Preview" w:date="2026-01-01T00:00:00Z">
        <w:r>
          <w:t xml:space="preserve"> </w:t>
        </w:r>
      </w:ins>
      <m:oMath>
        <m:r>
          <m:t>Y</m:t>
        </m:r>
      </m:oMath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(defined in the Morrison Lab’s probability notes).</w:t>
        </w:r>
      </w:ins>
    </w:p>
    <w:p>
      <w:pPr>
        <w:pStyle w:val="Compact"/>
        <w:numPr>
          <w:ilvl w:val="0"/>
          <w:numId w:val="1002"/>
        </w:numPr>
      </w:pPr>
      <w:ins w:id="122" w:author="PR Preview" w:date="2026-01-01T00:00:00Z">
        <w:r>
          <w:t xml:space="preserve">Set indicator</w:t>
        </w:r>
      </w:ins>
      <w:ins w:id="123" w:author="PR Preview" w:date="2026-01-01T00:00:00Z">
        <w:r>
          <w:t xml:space="preserve"> </w:t>
        </w:r>
      </w:ins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24" w:author="PR Preview" w:date="2026-01-01T00:00:00Z">
        <w:r>
          <w:t xml:space="preserve">:</w:t>
        </w:r>
      </w:ins>
    </w:p>
    <w:p>
      <w:pPr>
        <w:pStyle w:val="Compact"/>
        <w:numPr>
          <w:ilvl w:val="1"/>
          <w:numId w:val="1003"/>
        </w:numPr>
      </w:pPr>
      <w:ins w:id="125" w:author="PR Preview" w:date="2026-01-01T00:00:00Z">
        <w:r>
          <w:t xml:space="preserve">For</w:t>
        </w:r>
      </w:ins>
      <w:ins w:id="12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3.5</m:t>
        </m:r>
      </m:oMath>
      <w:ins w:id="127" w:author="PR Preview" w:date="2026-01-01T00:00:00Z">
        <w:r>
          <w:t xml:space="preserve">: since</w:t>
        </w:r>
      </w:ins>
      <w:ins w:id="128" w:author="PR Preview" w:date="2026-01-01T00:00:00Z">
        <w:r>
          <w:t xml:space="preserve"> </w:t>
        </w:r>
      </w:ins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129" w:author="PR Preview" w:date="2026-01-01T00:00:00Z">
        <w:r>
          <w:t xml:space="preserve">,</w:t>
        </w:r>
      </w:ins>
      <w:ins w:id="130" w:author="PR Preview" w:date="2026-01-01T00:00:00Z">
        <w:r>
          <w:t xml:space="preserve"> </w:t>
        </w:r>
      </w:ins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131" w:author="PR Preview" w:date="2026-01-01T00:00:00Z">
        <w:r>
          <w:t xml:space="preserve">.</w:t>
        </w:r>
      </w:ins>
    </w:p>
    <w:p>
      <w:pPr>
        <w:pStyle w:val="Compact"/>
        <w:numPr>
          <w:ilvl w:val="1"/>
          <w:numId w:val="1003"/>
        </w:numPr>
      </w:pPr>
      <w:ins w:id="132" w:author="PR Preview" w:date="2026-01-01T00:00:00Z">
        <w:r>
          <w:t xml:space="preserve">For</w:t>
        </w:r>
      </w:ins>
      <w:ins w:id="13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ins w:id="134" w:author="PR Preview" w:date="2026-01-01T00:00:00Z">
        <w:r>
          <w:t xml:space="preserve">: since</w:t>
        </w:r>
      </w:ins>
      <w:ins w:id="13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136" w:author="PR Preview" w:date="2026-01-01T00:00:00Z">
        <w:r>
          <w:t xml:space="preserve">,</w:t>
        </w:r>
      </w:ins>
      <w:ins w:id="137" w:author="PR Preview" w:date="2026-01-01T00:00:00Z">
        <w:r>
          <w:t xml:space="preserve"> </w:t>
        </w:r>
      </w:ins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3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2"/>
        </w:numPr>
      </w:pPr>
      <w:ins w:id="139" w:author="PR Preview" w:date="2026-01-01T00:00:00Z">
        <w:r>
          <w:t xml:space="preserve">Predicate indicator</w:t>
        </w:r>
      </w:ins>
      <w:ins w:id="140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ins w:id="141" w:author="PR Preview" w:date="2026-01-01T00:00:00Z">
        <w:r>
          <w:t xml:space="preserve">:</w:t>
        </w:r>
      </w:ins>
    </w:p>
    <w:p>
      <w:pPr>
        <w:pStyle w:val="Compact"/>
        <w:numPr>
          <w:ilvl w:val="1"/>
          <w:numId w:val="1004"/>
        </w:numPr>
      </w:pPr>
      <w:ins w:id="142" w:author="PR Preview" w:date="2026-01-01T00:00:00Z">
        <w:r>
          <w:t xml:space="preserve">If an observation yields</w:t>
        </w:r>
      </w:ins>
      <w:ins w:id="143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7.2</m:t>
        </m:r>
      </m:oMath>
      <w:ins w:id="144" w:author="PR Preview" w:date="2026-01-01T00:00:00Z">
        <w:r>
          <w:t xml:space="preserve">,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the predicate</w:t>
        </w:r>
      </w:ins>
      <w:ins w:id="147" w:author="PR Preview" w:date="2026-01-01T00:00:00Z">
        <w:r>
          <w:t xml:space="preserve"> </w:t>
        </w:r>
      </w:ins>
      <m:oMath>
        <m:r>
          <m:t>7.2</m:t>
        </m:r>
        <m:r>
          <m:rPr>
            <m:sty m:val="p"/>
          </m:rPr>
          <m:t>&gt;</m:t>
        </m:r>
        <m:r>
          <m:t>5</m:t>
        </m:r>
      </m:oMath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is true,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so</w:t>
        </w:r>
      </w:ins>
      <w:ins w:id="15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53" w:author="PR Preview" w:date="2026-01-01T00:00:00Z">
        <w:r>
          <w:t xml:space="preserve">.</w:t>
        </w:r>
      </w:ins>
    </w:p>
    <w:p>
      <w:pPr>
        <w:pStyle w:val="Compact"/>
        <w:numPr>
          <w:ilvl w:val="1"/>
          <w:numId w:val="1004"/>
        </w:numPr>
      </w:pPr>
      <w:ins w:id="154" w:author="PR Preview" w:date="2026-01-01T00:00:00Z">
        <w:r>
          <w:t xml:space="preserve">If an observation yields</w:t>
        </w:r>
      </w:ins>
      <w:ins w:id="155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4.1</m:t>
        </m:r>
      </m:oMath>
      <w:ins w:id="156" w:author="PR Preview" w:date="2026-01-01T00:00:00Z">
        <w:r>
          <w:t xml:space="preserve">,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the predicate</w:t>
        </w:r>
      </w:ins>
      <w:ins w:id="159" w:author="PR Preview" w:date="2026-01-01T00:00:00Z">
        <w:r>
          <w:t xml:space="preserve"> </w:t>
        </w:r>
      </w:ins>
      <m:oMath>
        <m:r>
          <m:t>4.1</m:t>
        </m:r>
        <m:r>
          <m:rPr>
            <m:sty m:val="p"/>
          </m:rPr>
          <m:t>&gt;</m:t>
        </m:r>
        <m:r>
          <m:t>5</m:t>
        </m:r>
      </m:oMath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is false,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so</w:t>
        </w:r>
      </w:ins>
      <w:ins w:id="164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165" w:author="PR Preview" w:date="2026-01-01T00:00:00Z">
        <w:r>
          <w:t xml:space="preserve">.</w:t>
        </w:r>
      </w:ins>
    </w:p>
    <w:bookmarkEnd w:id="12"/>
    <w:bookmarkStart w:id="13" w:name="def-binary-variable"/>
    <w:p>
      <w:pPr>
        <w:pStyle w:val="FirstParagraph"/>
      </w:pPr>
      <w:ins w:id="166" w:author="PR Preview" w:date="2026-01-01T00:00:00Z">
        <w:r>
          <w:rPr>
            <w:b/>
            <w:bCs/>
          </w:rPr>
          <w:t xml:space="preserve">Definition 3 (Binary variable)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A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rPr>
            <w:b/>
            <w:bCs/>
          </w:rPr>
          <w:t xml:space="preserve">binary variable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is a variable that takes only the values</w:t>
        </w:r>
      </w:ins>
      <w:ins w:id="173" w:author="PR Preview" w:date="2026-01-01T00:00:00Z">
        <w:r>
          <w:t xml:space="preserve"> </w:t>
        </w:r>
      </w:ins>
      <m:oMath>
        <m:r>
          <m:t>0</m:t>
        </m:r>
      </m:oMath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and</w:t>
        </w:r>
      </w:ins>
      <w:ins w:id="176" w:author="PR Preview" w:date="2026-01-01T00:00:00Z">
        <w:r>
          <w:t xml:space="preserve"> </w:t>
        </w:r>
      </w:ins>
      <m:oMath>
        <m:r>
          <m:t>1</m:t>
        </m:r>
      </m:oMath>
      <w:ins w:id="177" w:author="PR Preview" w:date="2026-01-01T00:00:00Z">
        <w:r>
          <w:t xml:space="preserve">.</w:t>
        </w:r>
      </w:ins>
    </w:p>
    <w:bookmarkEnd w:id="13"/>
    <w:bookmarkStart w:id="14" w:name="exm-binary-variable"/>
    <w:p>
      <w:pPr>
        <w:pStyle w:val="BodyText"/>
      </w:pPr>
      <w:ins w:id="178" w:author="PR Preview" w:date="2026-01-01T00:00:00Z">
        <w:r>
          <w:rPr>
            <w:b/>
            <w:bCs/>
          </w:rPr>
          <w:t xml:space="preserve">Example 2 (A binary variable is an indicator)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In a study of</w:t>
        </w:r>
      </w:ins>
      <w:ins w:id="181" w:author="PR Preview" w:date="2026-01-01T00:00:00Z">
        <w:r>
          <w:t xml:space="preserve"> </w:t>
        </w:r>
      </w:ins>
      <m:oMath>
        <m:r>
          <m:t>n</m:t>
        </m:r>
      </m:oMath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people,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let</w:t>
        </w:r>
      </w:ins>
      <w:ins w:id="186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if person</w:t>
        </w:r>
      </w:ins>
      <w:ins w:id="189" w:author="PR Preview" w:date="2026-01-01T00:00:00Z">
        <w:r>
          <w:t xml:space="preserve"> </w:t>
        </w:r>
      </w:ins>
      <m:oMath>
        <m:r>
          <m:t>i</m:t>
        </m:r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smokes and</w:t>
        </w:r>
      </w:ins>
      <w:ins w:id="19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otherwise,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for</w:t>
        </w:r>
      </w:ins>
      <w:ins w:id="19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198" w:author="PR Preview" w:date="2026-01-01T00:00:00Z">
        <w:r>
          <w:t xml:space="preserve">.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Then</w:t>
        </w:r>
      </w:ins>
      <w:ins w:id="201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i</m:t>
            </m:r>
          </m:sub>
        </m:sSub>
      </m:oMath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is a binary variable (</w:t>
        </w:r>
      </w:ins>
      <w:hyperlink w:anchor="def-binary-variable">
        <w:ins w:id="204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05" w:author="PR Preview" w:date="2026-01-01T00:00:00Z">
        <w:r>
          <w:t xml:space="preserve">).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It is also the predicate indicator (</w:t>
        </w:r>
      </w:ins>
      <w:hyperlink w:anchor="def-indicator-function">
        <w:ins w:id="208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09" w:author="PR Preview" w:date="2026-01-01T00:00:00Z">
        <w:r>
          <w:t xml:space="preserve">)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of the proposition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“person</w:t>
        </w:r>
      </w:ins>
      <w:ins w:id="214" w:author="PR Preview" w:date="2026-01-01T00:00:00Z">
        <w:r>
          <w:t xml:space="preserve"> </w:t>
        </w:r>
      </w:ins>
      <m:oMath>
        <m:r>
          <m:t>i</m:t>
        </m:r>
      </m:oMath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smokes”</w:t>
        </w:r>
      </w:ins>
      <w:ins w:id="217" w:author="PR Preview" w:date="2026-01-01T00:00:00Z">
        <w:r>
          <w:t xml:space="preserve">:</w:t>
        </w:r>
      </w:ins>
      <w:ins w:id="218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ins w:id="219" w:author="PR Preview" w:date="2026-01-01T00:00:00Z">
        <w:r>
          <w:t xml:space="preserve">.</w:t>
        </w:r>
      </w:ins>
    </w:p>
    <w:p>
      <w:pPr>
        <w:pStyle w:val="BodyText"/>
      </w:pPr>
      <w:ins w:id="220" w:author="PR Preview" w:date="2026-01-01T00:00:00Z">
        <w:r>
          <w:t xml:space="preserve">In the same way,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every indicator is a binary variable,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and every binary variable</w:t>
        </w:r>
      </w:ins>
      <w:ins w:id="225" w:author="PR Preview" w:date="2026-01-01T00:00:00Z">
        <w:r>
          <w:t xml:space="preserve"> </w:t>
        </w:r>
      </w:ins>
      <m:oMath>
        <m:r>
          <m:t>X</m:t>
        </m:r>
      </m:oMath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is the indicator of its own value being</w:t>
        </w:r>
      </w:ins>
      <w:ins w:id="228" w:author="PR Preview" w:date="2026-01-01T00:00:00Z">
        <w:r>
          <w:t xml:space="preserve"> </w:t>
        </w:r>
      </w:ins>
      <m:oMath>
        <m:r>
          <m:t>1</m:t>
        </m:r>
      </m:oMath>
      <w:ins w:id="229" w:author="PR Preview" w:date="2026-01-01T00:00:00Z">
        <w:r>
          <w:t xml:space="preserve">:</w:t>
        </w:r>
      </w:ins>
      <w:ins w:id="23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ins w:id="231" w:author="PR Preview" w:date="2026-01-01T00:00:00Z">
        <w:r>
          <w:t xml:space="preserve">,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since both sides are</w:t>
        </w:r>
      </w:ins>
      <w:ins w:id="234" w:author="PR Preview" w:date="2026-01-01T00:00:00Z">
        <w:r>
          <w:t xml:space="preserve"> </w:t>
        </w:r>
      </w:ins>
      <m:oMath>
        <m:r>
          <m:t>1</m:t>
        </m:r>
      </m:oMath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when</w:t>
        </w:r>
      </w:ins>
      <w:ins w:id="23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and</w:t>
        </w:r>
      </w:ins>
      <w:ins w:id="240" w:author="PR Preview" w:date="2026-01-01T00:00:00Z">
        <w:r>
          <w:t xml:space="preserve"> </w:t>
        </w:r>
      </w:ins>
      <m:oMath>
        <m:r>
          <m:t>0</m:t>
        </m:r>
      </m:oMath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when</w:t>
        </w:r>
      </w:ins>
      <w:ins w:id="24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244" w:author="PR Preview" w:date="2026-01-01T00:00:00Z">
        <w:r>
          <w:t xml:space="preserve">.</w:t>
        </w:r>
      </w:ins>
    </w:p>
    <w:bookmarkEnd w:id="14"/>
    <w:bookmarkStart w:id="25" w:name="X156504d913efc1f49ad7c2e43ace68824d2fb5d"/>
    <w:p>
      <w:pPr>
        <w:pStyle w:val="Heading3"/>
      </w:pPr>
      <w:ins w:id="245" w:author="PR Preview" w:date="2026-01-01T00:00:00Z">
        <w:r>
          <w:t xml:space="preserve">1.1 Two primary notational paradigms: set vs. predicate notation</w:t>
        </w:r>
      </w:ins>
    </w:p>
    <w:p>
      <w:pPr>
        <w:pStyle w:val="FirstParagraph"/>
      </w:pPr>
      <w:ins w:id="246" w:author="PR Preview" w:date="2026-01-01T00:00:00Z">
        <w:r>
          <w:t xml:space="preserve">The vast majority of indicator notations belong to one of two families: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set notation or predicate notation.</w:t>
        </w:r>
      </w:ins>
    </w:p>
    <w:bookmarkStart w:id="15" w:name="def-set-predicate-notation"/>
    <w:p>
      <w:pPr>
        <w:pStyle w:val="BodyText"/>
      </w:pPr>
      <w:ins w:id="249" w:author="PR Preview" w:date="2026-01-01T00:00:00Z">
        <w:r>
          <w:rPr>
            <w:b/>
            <w:bCs/>
          </w:rPr>
          <w:t xml:space="preserve">Definition 4 (Set notation for indicators)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An indicator (</w:t>
        </w:r>
      </w:ins>
      <w:hyperlink w:anchor="def-indicator-function">
        <w:ins w:id="252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53" w:author="PR Preview" w:date="2026-01-01T00:00:00Z">
        <w:r>
          <w:t xml:space="preserve">) is written in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rPr>
            <w:b/>
            <w:bCs/>
          </w:rPr>
          <w:t xml:space="preserve">set notation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when the set</w:t>
        </w:r>
      </w:ins>
      <w:ins w:id="258" w:author="PR Preview" w:date="2026-01-01T00:00:00Z">
        <w:r>
          <w:t xml:space="preserve"> </w:t>
        </w:r>
      </w:ins>
      <m:oMath>
        <m:r>
          <m:t>A</m:t>
        </m:r>
      </m:oMath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appears as a subscript,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as in</w:t>
        </w:r>
      </w:ins>
      <w:ins w:id="263" w:author="PR Preview" w:date="2026-01-01T00:00:00Z">
        <w:r>
          <w:t xml:space="preserve"> </w:t>
        </w:r>
      </w:ins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64" w:author="PR Preview" w:date="2026-01-01T00:00:00Z">
        <w:r>
          <w:t xml:space="preserve">.</w:t>
        </w:r>
      </w:ins>
    </w:p>
    <w:bookmarkEnd w:id="15"/>
    <w:bookmarkStart w:id="17" w:name="def-predicate-notation"/>
    <w:p>
      <w:pPr>
        <w:pStyle w:val="BodyText"/>
      </w:pPr>
      <w:ins w:id="265" w:author="PR Preview" w:date="2026-01-01T00:00:00Z">
        <w:r>
          <w:rPr>
            <w:b/>
            <w:bCs/>
          </w:rPr>
          <w:t xml:space="preserve">Definition 5 (Predicate notation for indicators)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An indicator (</w:t>
        </w:r>
      </w:ins>
      <w:hyperlink w:anchor="def-indicator-function">
        <w:ins w:id="268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69" w:author="PR Preview" w:date="2026-01-01T00:00:00Z">
        <w:r>
          <w:t xml:space="preserve">) is written in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rPr>
            <w:b/>
            <w:bCs/>
          </w:rPr>
          <w:t xml:space="preserve">predicate notation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when a proposition or predicate</w:t>
        </w:r>
      </w:ins>
      <w:ins w:id="274" w:author="PR Preview" w:date="2026-01-01T00:00:00Z">
        <w:r>
          <w:t xml:space="preserve"> </w:t>
        </w:r>
      </w:ins>
      <m:oMath>
        <m:r>
          <m:t>P</m:t>
        </m:r>
      </m:oMath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(</w:t>
        </w:r>
      </w:ins>
      <w:hyperlink r:id="rId16">
        <w:ins w:id="277" w:author="PR Preview" w:date="2026-01-01T00:00:00Z">
          <w:r>
            <w:rPr>
              <w:rStyle w:val="Hyperlink"/>
            </w:rPr>
            <w:t xml:space="preserve">definition</w:t>
          </w:r>
        </w:ins>
      </w:hyperlink>
      <w:ins w:id="278" w:author="PR Preview" w:date="2026-01-01T00:00:00Z">
        <w:r>
          <w:t xml:space="preserve">) appears as its argument,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as in</w:t>
        </w:r>
      </w:ins>
      <w:ins w:id="281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or</w:t>
        </w:r>
      </w:ins>
      <w:ins w:id="284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ins w:id="285" w:author="PR Preview" w:date="2026-01-01T00:00:00Z">
        <w:r>
          <w:t xml:space="preserve">.</w:t>
        </w:r>
      </w:ins>
    </w:p>
    <w:bookmarkEnd w:id="17"/>
    <w:bookmarkStart w:id="18" w:name="exm-set-predicate-notation"/>
    <w:p>
      <w:pPr>
        <w:pStyle w:val="BodyText"/>
      </w:pPr>
      <w:ins w:id="286" w:author="PR Preview" w:date="2026-01-01T00:00:00Z">
        <w:r>
          <w:rPr>
            <w:b/>
            <w:bCs/>
          </w:rPr>
          <w:t xml:space="preserve">Example 3 (One indicator in both notations)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Let</w:t>
        </w:r>
      </w:ins>
      <w:ins w:id="28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290" w:author="PR Preview" w:date="2026-01-01T00:00:00Z">
        <w:r>
          <w:t xml:space="preserve">, the nonnegative real numbers.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The indicator of</w:t>
        </w:r>
      </w:ins>
      <w:ins w:id="293" w:author="PR Preview" w:date="2026-01-01T00:00:00Z">
        <w:r>
          <w:t xml:space="preserve"> </w:t>
        </w:r>
      </w:ins>
      <m:oMath>
        <m:r>
          <m:t>A</m:t>
        </m:r>
      </m:oMath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is</w:t>
        </w:r>
      </w:ins>
      <w:ins w:id="296" w:author="PR Preview" w:date="2026-01-01T00:00:00Z">
        <w:r>
          <w:t xml:space="preserve"> </w:t>
        </w:r>
      </w:ins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in set notation,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and</w:t>
        </w:r>
      </w:ins>
      <w:ins w:id="301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or</w:t>
        </w:r>
      </w:ins>
      <w:ins w:id="304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in predicate notation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(</w:t>
        </w:r>
      </w:ins>
      <w:hyperlink w:anchor="def-set-predicate-notation">
        <w:ins w:id="309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310" w:author="PR Preview" w:date="2026-01-01T00:00:00Z">
        <w:r>
          <w:t xml:space="preserve">,</w:t>
        </w:r>
      </w:ins>
      <w:ins w:id="311" w:author="PR Preview" w:date="2026-01-01T00:00:00Z">
        <w:r>
          <w:t xml:space="preserve"> </w:t>
        </w:r>
      </w:ins>
      <w:hyperlink w:anchor="def-predicate-notation">
        <w:ins w:id="312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313" w:author="PR Preview" w:date="2026-01-01T00:00:00Z">
        <w:r>
          <w:t xml:space="preserve">).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At</w:t>
        </w:r>
      </w:ins>
      <w:ins w:id="31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3.5</m:t>
        </m:r>
      </m:oMath>
      <w:ins w:id="317" w:author="PR Preview" w:date="2026-01-01T00:00:00Z">
        <w:r>
          <w:t xml:space="preserve">, all three equal</w:t>
        </w:r>
      </w:ins>
      <w:ins w:id="318" w:author="PR Preview" w:date="2026-01-01T00:00:00Z">
        <w:r>
          <w:t xml:space="preserve"> </w:t>
        </w:r>
      </w:ins>
      <m:oMath>
        <m:r>
          <m:t>1</m:t>
        </m:r>
      </m:oMath>
      <w:ins w:id="319" w:author="PR Preview" w:date="2026-01-01T00:00:00Z">
        <w:r>
          <w:t xml:space="preserve">;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at</w:t>
        </w:r>
      </w:ins>
      <w:ins w:id="32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ins w:id="323" w:author="PR Preview" w:date="2026-01-01T00:00:00Z">
        <w:r>
          <w:t xml:space="preserve">, all three equal</w:t>
        </w:r>
      </w:ins>
      <w:ins w:id="324" w:author="PR Preview" w:date="2026-01-01T00:00:00Z">
        <w:r>
          <w:t xml:space="preserve"> </w:t>
        </w:r>
      </w:ins>
      <m:oMath>
        <m:r>
          <m:t>0</m:t>
        </m:r>
      </m:oMath>
      <w:ins w:id="325" w:author="PR Preview" w:date="2026-01-01T00:00:00Z">
        <w:r>
          <w:t xml:space="preserve">.</w:t>
        </w:r>
      </w:ins>
    </w:p>
    <w:bookmarkEnd w:id="18"/>
    <w:bookmarkStart w:id="19" w:name="set-notation"/>
    <w:p>
      <w:pPr>
        <w:pStyle w:val="Heading4"/>
      </w:pPr>
      <w:ins w:id="326" w:author="PR Preview" w:date="2026-01-01T00:00:00Z">
        <w:r>
          <w:t xml:space="preserve">Set notation</w:t>
        </w:r>
      </w:ins>
    </w:p>
    <w:p>
      <w:pPr>
        <w:pStyle w:val="FirstParagraph"/>
      </w:pPr>
      <w:ins w:id="327" w:author="PR Preview" w:date="2026-01-01T00:00:00Z">
        <w:r>
          <w:t xml:space="preserve">In set notation,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the indicator is tied to a set</w:t>
        </w:r>
      </w:ins>
      <w:ins w:id="330" w:author="PR Preview" w:date="2026-01-01T00:00:00Z">
        <w:r>
          <w:t xml:space="preserve"> </w:t>
        </w:r>
      </w:ins>
      <m:oMath>
        <m:r>
          <m:t>A</m:t>
        </m:r>
      </m:oMath>
      <w:ins w:id="331" w:author="PR Preview" w:date="2026-01-01T00:00:00Z">
        <w:r>
          <w:t xml:space="preserve">,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which appears as a subscript:</w:t>
        </w:r>
      </w:ins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(bold numeral one)</w:t>
        </w:r>
      </w:ins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(blackboard bold numeral one)</w:t>
        </w:r>
      </w:ins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(capital letter</w:t>
        </w:r>
      </w:ins>
      <w:ins w:id="340" w:author="PR Preview" w:date="2026-01-01T00:00:00Z">
        <w:r>
          <w:t xml:space="preserve"> </w:t>
        </w:r>
      </w:ins>
      <m:oMath>
        <m:r>
          <m:t>I</m:t>
        </m:r>
      </m:oMath>
      <w:ins w:id="341" w:author="PR Preview" w:date="2026-01-01T00:00:00Z">
        <w:r>
          <w:t xml:space="preserve">)</w:t>
        </w:r>
      </w:ins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(blackboard bold letter</w:t>
        </w:r>
      </w:ins>
      <w:ins w:id="344" w:author="PR Preview" w:date="2026-01-01T00:00:00Z">
        <w:r>
          <w:t xml:space="preserve"> </w:t>
        </w:r>
      </w:ins>
      <m:oMath>
        <m:r>
          <m:t>I</m:t>
        </m:r>
      </m:oMath>
      <w:ins w:id="345" w:author="PR Preview" w:date="2026-01-01T00:00:00Z">
        <w:r>
          <w:t xml:space="preserve">)</w:t>
        </w:r>
      </w:ins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(Greek letter chi, historically termed the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rPr>
            <w:i/>
            <w:iCs/>
          </w:rPr>
          <w:t xml:space="preserve">characteristic function</w:t>
        </w:r>
      </w:ins>
      <w:ins w:id="350" w:author="PR Preview" w:date="2026-01-01T00:00:00Z">
        <w:r>
          <w:t xml:space="preserve">)</w:t>
        </w:r>
      </w:ins>
    </w:p>
    <w:p>
      <w:pPr>
        <w:pStyle w:val="FirstParagraph"/>
      </w:pPr>
      <w:ins w:id="351" w:author="PR Preview" w:date="2026-01-01T00:00:00Z">
        <w:r>
          <w:t xml:space="preserve">When the function is viewed as a mathematical object in its own right</w:t>
        </w:r>
      </w:ins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(for instance, as an element of an</w:t>
        </w:r>
      </w:ins>
      <w:ins w:id="354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function space,</w:t>
        </w:r>
      </w:ins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the set of functions</w:t>
        </w:r>
      </w:ins>
      <w:ins w:id="359" w:author="PR Preview" w:date="2026-01-01T00:00:00Z">
        <w:r>
          <w:t xml:space="preserve"> </w:t>
        </w:r>
      </w:ins>
      <m:oMath>
        <m:r>
          <m:t>f</m:t>
        </m:r>
      </m:oMath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for which</w:t>
        </w:r>
      </w:ins>
      <w:ins w:id="362" w:author="PR Preview" w:date="2026-01-01T00:00:00Z">
        <w:r>
          <w:t xml:space="preserve"> </w:t>
        </w:r>
      </w:ins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is finite),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authors often omit the argument</w:t>
        </w:r>
      </w:ins>
      <w:ins w:id="367" w:author="PR Preview" w:date="2026-01-01T00:00:00Z">
        <w:r>
          <w:t xml:space="preserve"> </w:t>
        </w:r>
      </w:ins>
      <m:oMath>
        <m:r>
          <m:t>x</m:t>
        </m:r>
      </m:oMath>
      <w:ins w:id="368" w:author="PR Preview" w:date="2026-01-01T00:00:00Z">
        <w:r>
          <w:t xml:space="preserve">,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writing simply</w:t>
        </w:r>
      </w:ins>
      <w:ins w:id="371" w:author="PR Preview" w:date="2026-01-01T00:00:00Z">
        <w:r>
          <w:t xml:space="preserve"> </w:t>
        </w:r>
      </w:ins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ins w:id="372" w:author="PR Preview" w:date="2026-01-01T00:00:00Z">
        <w:r>
          <w:t xml:space="preserve">,</w:t>
        </w:r>
      </w:ins>
      <w:ins w:id="373" w:author="PR Preview" w:date="2026-01-01T00:00:00Z">
        <w:r>
          <w:t xml:space="preserve"> </w:t>
        </w:r>
      </w:ins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ins w:id="374" w:author="PR Preview" w:date="2026-01-01T00:00:00Z">
        <w:r>
          <w:t xml:space="preserve">, or</w:t>
        </w:r>
      </w:ins>
      <w:ins w:id="375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t>A</m:t>
            </m:r>
          </m:sub>
        </m:sSub>
      </m:oMath>
      <w:ins w:id="376" w:author="PR Preview" w:date="2026-01-01T00:00:00Z">
        <w:r>
          <w:t xml:space="preserve">.</w:t>
        </w:r>
      </w:ins>
    </w:p>
    <w:bookmarkEnd w:id="19"/>
    <w:bookmarkStart w:id="21" w:name="predicate-notation"/>
    <w:p>
      <w:pPr>
        <w:pStyle w:val="Heading4"/>
      </w:pPr>
      <w:ins w:id="377" w:author="PR Preview" w:date="2026-01-01T00:00:00Z">
        <w:r>
          <w:t xml:space="preserve">Predicate notation</w:t>
        </w:r>
      </w:ins>
    </w:p>
    <w:p>
      <w:pPr>
        <w:pStyle w:val="FirstParagraph"/>
      </w:pPr>
      <w:ins w:id="378" w:author="PR Preview" w:date="2026-01-01T00:00:00Z">
        <w:r>
          <w:t xml:space="preserve">In predicate notation,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the indicator takes a logical condition,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relation,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or proposition</w:t>
        </w:r>
      </w:ins>
      <w:ins w:id="385" w:author="PR Preview" w:date="2026-01-01T00:00:00Z">
        <w:r>
          <w:t xml:space="preserve"> </w:t>
        </w:r>
      </w:ins>
      <m:oMath>
        <m:r>
          <m:t>P</m:t>
        </m:r>
      </m:oMath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directly as its argument or subscript:</w:t>
        </w:r>
      </w:ins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or</w:t>
        </w:r>
      </w:ins>
      <w:ins w:id="390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or</w:t>
        </w:r>
      </w:ins>
      <w:ins w:id="393" w:author="PR Preview" w:date="2026-01-01T00:00:00Z">
        <w:r>
          <w:t xml:space="preserve"> </w:t>
        </w:r>
      </w:ins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or</w:t>
        </w:r>
      </w:ins>
      <w:ins w:id="39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or</w:t>
        </w:r>
      </w:ins>
      <w:ins w:id="399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or</w:t>
        </w:r>
      </w:ins>
      <w:ins w:id="40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ins w:id="403" w:author="PR Preview" w:date="2026-01-01T00:00:00Z">
        <w:r>
          <w:t xml:space="preserve">Predicate notation is especially common in applied statistics and survival analysis,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where indicators frequently depend on inequalities (</w:t>
        </w:r>
      </w:ins>
      <w:hyperlink r:id="rId20">
        <w:ins w:id="406" w:author="PR Preview" w:date="2026-01-01T00:00:00Z">
          <w:r>
            <w:rPr>
              <w:rStyle w:val="Hyperlink"/>
            </w:rPr>
            <w:t xml:space="preserve">definition</w:t>
          </w:r>
        </w:ins>
      </w:hyperlink>
      <w:ins w:id="407" w:author="PR Preview" w:date="2026-01-01T00:00:00Z">
        <w:r>
          <w:t xml:space="preserve">) involving random variables,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such as</w:t>
        </w:r>
      </w:ins>
      <w:ins w:id="410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(an event occurring before time</w:t>
        </w:r>
      </w:ins>
      <w:ins w:id="413" w:author="PR Preview" w:date="2026-01-01T00:00:00Z">
        <w:r>
          <w:t xml:space="preserve"> </w:t>
        </w:r>
      </w:ins>
      <m:oMath>
        <m:r>
          <m:t>t</m:t>
        </m:r>
      </m:oMath>
      <w:ins w:id="414" w:author="PR Preview" w:date="2026-01-01T00:00:00Z">
        <w:r>
          <w:t xml:space="preserve">)</w:t>
        </w:r>
      </w:ins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or</w:t>
        </w:r>
      </w:ins>
      <w:ins w:id="417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(a binary outcome).</w:t>
        </w:r>
      </w:ins>
    </w:p>
    <w:bookmarkEnd w:id="21"/>
    <w:bookmarkStart w:id="24" w:name="equivalence-between-paradigms"/>
    <w:p>
      <w:pPr>
        <w:pStyle w:val="Heading4"/>
      </w:pPr>
      <w:ins w:id="420" w:author="PR Preview" w:date="2026-01-01T00:00:00Z">
        <w:r>
          <w:t xml:space="preserve">Equivalence between paradigms</w:t>
        </w:r>
      </w:ins>
    </w:p>
    <w:p>
      <w:pPr>
        <w:pStyle w:val="FirstParagraph"/>
      </w:pPr>
      <w:ins w:id="421" w:author="PR Preview" w:date="2026-01-01T00:00:00Z">
        <w:r>
          <w:t xml:space="preserve">The two paradigms are connected by evaluating the predicate indicator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at the membership statement</w:t>
        </w:r>
      </w:ins>
      <w:ins w:id="42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</m:oMath>
      <w:ins w:id="42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ins w:id="426" w:author="PR Preview" w:date="2026-01-01T00:00:00Z">
        <w:r>
          <w:rPr>
            <w:b/>
            <w:bCs/>
          </w:rPr>
          <w:t xml:space="preserve">Definition 6 (Support of a distribution)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The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rPr>
            <w:b/>
            <w:bCs/>
          </w:rPr>
          <w:t xml:space="preserve">support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of a discrete distribution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is the set of values it gives positive probability.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The support of a continuous distribution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is the set of values where its density is positive.</w:t>
        </w:r>
      </w:ins>
    </w:p>
    <w:bookmarkEnd w:id="22"/>
    <w:bookmarkStart w:id="23" w:name="exm-support"/>
    <w:p>
      <w:pPr>
        <w:pStyle w:val="BodyText"/>
      </w:pPr>
      <w:ins w:id="439" w:author="PR Preview" w:date="2026-01-01T00:00:00Z">
        <w:r>
          <w:rPr>
            <w:b/>
            <w:bCs/>
          </w:rPr>
          <w:t xml:space="preserve">Example 4 (Supports of two count distributions)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7"/>
        </w:numPr>
      </w:pPr>
      <w:ins w:id="442" w:author="PR Preview" w:date="2026-01-01T00:00:00Z">
        <w:r>
          <w:t xml:space="preserve">A fair six-sided die gives each of</w:t>
        </w:r>
      </w:ins>
      <w:ins w:id="44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probability</w:t>
        </w:r>
      </w:ins>
      <w:ins w:id="446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and every other value probability</w:t>
        </w:r>
      </w:ins>
      <w:ins w:id="449" w:author="PR Preview" w:date="2026-01-01T00:00:00Z">
        <w:r>
          <w:t xml:space="preserve"> </w:t>
        </w:r>
      </w:ins>
      <m:oMath>
        <m:r>
          <m:t>0</m:t>
        </m:r>
      </m:oMath>
      <w:ins w:id="450" w:author="PR Preview" w:date="2026-01-01T00:00:00Z">
        <w:r>
          <w:t xml:space="preserve">,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so its support is</w:t>
        </w:r>
      </w:ins>
      <w:ins w:id="45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45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w:ins w:id="455" w:author="PR Preview" w:date="2026-01-01T00:00:00Z">
        <w:r>
          <w:t xml:space="preserve">A count that can be</w:t>
        </w:r>
      </w:ins>
      <w:ins w:id="456" w:author="PR Preview" w:date="2026-01-01T00:00:00Z">
        <w:r>
          <w:t xml:space="preserve"> </w:t>
        </w:r>
      </w:ins>
      <m:oMath>
        <m:r>
          <m:t>0</m:t>
        </m:r>
      </m:oMath>
      <w:ins w:id="457" w:author="PR Preview" w:date="2026-01-01T00:00:00Z">
        <w:r>
          <w:t xml:space="preserve">,</w:t>
        </w:r>
      </w:ins>
      <w:ins w:id="458" w:author="PR Preview" w:date="2026-01-01T00:00:00Z">
        <w:r>
          <w:t xml:space="preserve"> </w:t>
        </w:r>
      </w:ins>
      <m:oMath>
        <m:r>
          <m:t>1</m:t>
        </m:r>
      </m:oMath>
      <w:ins w:id="459" w:author="PR Preview" w:date="2026-01-01T00:00:00Z">
        <w:r>
          <w:t xml:space="preserve">,</w:t>
        </w:r>
      </w:ins>
      <w:ins w:id="460" w:author="PR Preview" w:date="2026-01-01T00:00:00Z">
        <w:r>
          <w:t xml:space="preserve"> </w:t>
        </w:r>
      </w:ins>
      <m:oMath>
        <m:r>
          <m:t>2</m:t>
        </m:r>
      </m:oMath>
      <w:ins w:id="461" w:author="PR Preview" w:date="2026-01-01T00:00:00Z">
        <w:r>
          <w:t xml:space="preserve">, and so on,</w:t>
        </w:r>
      </w:ins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each with positive probability,</w:t>
        </w:r>
      </w:ins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such as the number of hospital visits in a year,</w:t>
        </w:r>
      </w:ins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has support</w:t>
        </w:r>
      </w:ins>
      <w:ins w:id="468" w:author="PR Preview" w:date="2026-01-01T00:00:00Z">
        <w:r>
          <w:t xml:space="preserve"> </w:t>
        </w:r>
      </w:ins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469" w:author="PR Preview" w:date="2026-01-01T00:00:00Z">
        <w:r>
          <w:t xml:space="preserve">.</w:t>
        </w:r>
      </w:ins>
    </w:p>
    <w:bookmarkEnd w:id="23"/>
    <w:p>
      <w:pPr>
        <w:pStyle w:val="FirstParagraph"/>
      </w:pPr>
      <w:ins w:id="470" w:author="PR Preview" w:date="2026-01-01T00:00:00Z">
        <w:r>
          <w:t xml:space="preserve">Set notation is more natural when the underlying set</w:t>
        </w:r>
      </w:ins>
      <w:ins w:id="471" w:author="PR Preview" w:date="2026-01-01T00:00:00Z">
        <w:r>
          <w:t xml:space="preserve"> </w:t>
        </w:r>
      </w:ins>
      <m:oMath>
        <m:r>
          <m:t>A</m:t>
        </m:r>
      </m:oMath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has a standard name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(such as the support of a distribution (</w:t>
        </w:r>
      </w:ins>
      <w:hyperlink w:anchor="def-support">
        <w:ins w:id="476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477" w:author="PR Preview" w:date="2026-01-01T00:00:00Z">
        <w:r>
          <w:t xml:space="preserve">),</w:t>
        </w:r>
      </w:ins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or a geometric region).</w:t>
        </w:r>
      </w:ins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Predicate notation is more natural when the condition involves compound inequalities,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such as</w:t>
        </w:r>
      </w:ins>
      <w:ins w:id="484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ins w:id="485" w:author="PR Preview" w:date="2026-01-01T00:00:00Z">
        <w:r>
          <w:t xml:space="preserve">.</w:t>
        </w:r>
      </w:ins>
    </w:p>
    <w:bookmarkEnd w:id="24"/>
    <w:bookmarkEnd w:id="25"/>
    <w:bookmarkStart w:id="32" w:name="iverson-bracket-notation"/>
    <w:p>
      <w:pPr>
        <w:pStyle w:val="Heading3"/>
      </w:pPr>
      <w:ins w:id="486" w:author="PR Preview" w:date="2026-01-01T00:00:00Z">
        <w:r>
          <w:t xml:space="preserve">1.2 Iverson bracket notation</w:t>
        </w:r>
      </w:ins>
    </w:p>
    <w:p>
      <w:pPr>
        <w:pStyle w:val="FirstParagraph"/>
      </w:pPr>
      <w:ins w:id="487" w:author="PR Preview" w:date="2026-01-01T00:00:00Z">
        <w:r>
          <w:t xml:space="preserve">In 1962,</w:t>
        </w:r>
      </w:ins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Kenneth Iverson introduced a compact notation in the programming language APL,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later popularized in mathematics and computer science by Donald Knuth:</w:t>
        </w:r>
      </w:ins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the</w:t>
        </w:r>
      </w:ins>
      <w:ins w:id="494" w:author="PR Preview" w:date="2026-01-01T00:00:00Z">
        <w:r>
          <w:t xml:space="preserve"> </w:t>
        </w:r>
      </w:ins>
      <w:hyperlink r:id="rId26">
        <w:ins w:id="495" w:author="PR Preview" w:date="2026-01-01T00:00:00Z">
          <w:r>
            <w:rPr>
              <w:rStyle w:val="Hyperlink"/>
            </w:rPr>
            <w:t xml:space="preserve">Iverson bracket</w:t>
          </w:r>
        </w:ins>
      </w:hyperlink>
      <w:ins w:id="496" w:author="PR Preview" w:date="2026-01-01T00:00:00Z">
        <w:r>
          <w:t xml:space="preserve">.</w:t>
        </w:r>
      </w:ins>
    </w:p>
    <w:bookmarkStart w:id="27" w:name="def-iverson-bracket"/>
    <w:p>
      <w:pPr>
        <w:pStyle w:val="BodyText"/>
      </w:pPr>
      <w:ins w:id="497" w:author="PR Preview" w:date="2026-01-01T00:00:00Z">
        <w:r>
          <w:rPr>
            <w:b/>
            <w:bCs/>
          </w:rPr>
          <w:t xml:space="preserve">Definition 7 (Iverson bracket)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For any logical proposition</w:t>
        </w:r>
      </w:ins>
      <w:ins w:id="500" w:author="PR Preview" w:date="2026-01-01T00:00:00Z">
        <w:r>
          <w:t xml:space="preserve"> </w:t>
        </w:r>
      </w:ins>
      <m:oMath>
        <m:r>
          <m:t>P</m:t>
        </m:r>
      </m:oMath>
      <w:ins w:id="501" w:author="PR Preview" w:date="2026-01-01T00:00:00Z">
        <w:r>
          <w:t xml:space="preserve">,</w:t>
        </w:r>
      </w:ins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the</w:t>
        </w:r>
      </w:ins>
      <w:ins w:id="504" w:author="PR Preview" w:date="2026-01-01T00:00:00Z">
        <w:r>
          <w:t xml:space="preserve"> </w:t>
        </w:r>
      </w:ins>
      <w:ins w:id="505" w:author="PR Preview" w:date="2026-01-01T00:00:00Z">
        <w:r>
          <w:rPr>
            <w:b/>
            <w:bCs/>
          </w:rPr>
          <w:t xml:space="preserve">Iverson bracket</w:t>
        </w:r>
      </w:ins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of</w:t>
        </w:r>
      </w:ins>
      <w:ins w:id="508" w:author="PR Preview" w:date="2026-01-01T00:00:00Z">
        <w:r>
          <w:t xml:space="preserve"> </w:t>
        </w:r>
      </w:ins>
      <m:oMath>
        <m:r>
          <m:t>P</m:t>
        </m:r>
      </m:oMath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ins w:id="511" w:author="PR Preview" w:date="2026-01-01T00:00:00Z">
        <w:r>
          <w:rPr>
            <w:b/>
            <w:bCs/>
          </w:rPr>
          <w:t xml:space="preserve">Example 5 (Evaluating Iverson brackets)</w:t>
        </w:r>
      </w:ins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ins w:id="514" w:author="PR Preview" w:date="2026-01-01T00:00:00Z">
        <w:r>
          <w:t xml:space="preserve">, because</w:t>
        </w:r>
      </w:ins>
      <w:ins w:id="515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&gt;</m:t>
        </m:r>
        <m:r>
          <m:t>2</m:t>
        </m:r>
      </m:oMath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is true.</w:t>
        </w:r>
      </w:ins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ins w:id="518" w:author="PR Preview" w:date="2026-01-01T00:00:00Z">
        <w:r>
          <w:t xml:space="preserve">, because</w:t>
        </w:r>
      </w:ins>
      <w:ins w:id="519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&gt;</m:t>
        </m:r>
        <m:r>
          <m:t>3</m:t>
        </m:r>
      </m:oMath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is false.</w:t>
        </w:r>
      </w:ins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ins w:id="522" w:author="PR Preview" w:date="2026-01-01T00:00:00Z">
        <w:r>
          <w:t xml:space="preserve">, because</w:t>
        </w:r>
      </w:ins>
      <w:ins w:id="523" w:author="PR Preview" w:date="2026-01-01T00:00:00Z">
        <w:r>
          <w:t xml:space="preserve"> </w:t>
        </w:r>
      </w:ins>
      <m:oMath>
        <m:r>
          <m:t>4</m:t>
        </m:r>
      </m:oMath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is not an element of</w:t>
        </w:r>
      </w:ins>
      <w:ins w:id="526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527" w:author="PR Preview" w:date="2026-01-01T00:00:00Z">
        <w:r>
          <w:t xml:space="preserve">.</w:t>
        </w:r>
      </w:ins>
    </w:p>
    <w:bookmarkEnd w:id="28"/>
    <w:bookmarkStart w:id="29" w:name="rem-iverson-indicator"/>
    <w:p>
      <w:pPr>
        <w:pStyle w:val="FirstParagraph"/>
      </w:pPr>
      <w:ins w:id="528" w:author="PR Preview" w:date="2026-01-01T00:00:00Z">
        <w:r>
          <w:rPr>
            <w:i/>
            <w:iCs/>
          </w:rPr>
          <w:t xml:space="preserve">Remark 1</w:t>
        </w:r>
      </w:ins>
      <w:ins w:id="529" w:author="PR Preview" w:date="2026-01-01T00:00:00Z">
        <w:r>
          <w:t xml:space="preserve"> (The Iverson bracket is the predicate indicator). </w:t>
        </w:r>
      </w:ins>
      <w:ins w:id="530" w:author="PR Preview" w:date="2026-01-01T00:00:00Z">
        <w:r>
          <w:t xml:space="preserve">The Iverson bracket</w:t>
        </w:r>
      </w:ins>
      <w:ins w:id="53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is the predicate indicator</w:t>
        </w:r>
      </w:ins>
      <w:ins w:id="534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(</w:t>
        </w:r>
      </w:ins>
      <w:hyperlink w:anchor="def-indicator-function">
        <w:ins w:id="537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538" w:author="PR Preview" w:date="2026-01-01T00:00:00Z">
        <w:r>
          <w:t xml:space="preserve">) in different notation.</w:t>
        </w:r>
      </w:ins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Under this notation,</w:t>
        </w:r>
      </w:ins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set membership is written</w:t>
        </w:r>
      </w:ins>
      <w:ins w:id="54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ins w:id="544" w:author="PR Preview" w:date="2026-01-01T00:00:00Z">
        <w:r>
          <w:t xml:space="preserve">,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so</w:t>
        </w:r>
      </w:ins>
      <w:ins w:id="54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48" w:author="PR Preview" w:date="2026-01-01T00:00:00Z">
        <w:r>
          <w:t xml:space="preserve">.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For example, the values in</w:t>
        </w:r>
      </w:ins>
      <w:ins w:id="551" w:author="PR Preview" w:date="2026-01-01T00:00:00Z">
        <w:r>
          <w:t xml:space="preserve"> </w:t>
        </w:r>
      </w:ins>
      <w:hyperlink w:anchor="exm-indicator-numerical">
        <w:ins w:id="552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become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ins w:id="555" w:author="PR Preview" w:date="2026-01-01T00:00:00Z">
        <w:r>
          <w:t xml:space="preserve">and, with</w:t>
        </w:r>
      </w:ins>
      <w:ins w:id="55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557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ins w:id="558" w:author="PR Preview" w:date="2026-01-01T00:00:00Z">
        <w:r>
          <w:rPr>
            <w:b/>
            <w:bCs/>
          </w:rPr>
          <w:t xml:space="preserve">Definition 8 (Kronecker delta)</w:t>
        </w:r>
      </w:ins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For integers</w:t>
        </w:r>
      </w:ins>
      <w:ins w:id="561" w:author="PR Preview" w:date="2026-01-01T00:00:00Z">
        <w:r>
          <w:t xml:space="preserve"> </w:t>
        </w:r>
      </w:ins>
      <m:oMath>
        <m:r>
          <m:t>i</m:t>
        </m:r>
      </m:oMath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and</w:t>
        </w:r>
      </w:ins>
      <w:ins w:id="564" w:author="PR Preview" w:date="2026-01-01T00:00:00Z">
        <w:r>
          <w:t xml:space="preserve"> </w:t>
        </w:r>
      </w:ins>
      <m:oMath>
        <m:r>
          <m:t>j</m:t>
        </m:r>
      </m:oMath>
      <w:ins w:id="565" w:author="PR Preview" w:date="2026-01-01T00:00:00Z">
        <w:r>
          <w:t xml:space="preserve">,</w:t>
        </w:r>
      </w:ins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the</w:t>
        </w:r>
      </w:ins>
      <w:ins w:id="568" w:author="PR Preview" w:date="2026-01-01T00:00:00Z">
        <w:r>
          <w:t xml:space="preserve"> </w:t>
        </w:r>
      </w:ins>
      <w:ins w:id="569" w:author="PR Preview" w:date="2026-01-01T00:00:00Z">
        <w:r>
          <w:rPr>
            <w:b/>
            <w:bCs/>
          </w:rPr>
          <w:t xml:space="preserve">Kronecker delta</w:t>
        </w:r>
      </w:ins>
      <w:ins w:id="570" w:author="PR Preview" w:date="2026-01-01T00:00:00Z">
        <w:r>
          <w:t xml:space="preserve"> </w:t>
        </w:r>
      </w:ins>
      <w:ins w:id="571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ins w:id="572" w:author="PR Preview" w:date="2026-01-01T00:00:00Z">
        <w:r>
          <w:t xml:space="preserve">that is,</w:t>
        </w:r>
      </w:ins>
      <w:ins w:id="573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when</w:t>
        </w:r>
      </w:ins>
      <w:ins w:id="57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j</m:t>
        </m:r>
      </m:oMath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and</w:t>
        </w:r>
      </w:ins>
      <w:ins w:id="579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when</w:t>
        </w:r>
      </w:ins>
      <w:ins w:id="58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≠</m:t>
        </m:r>
        <m:r>
          <m:t>j</m:t>
        </m:r>
      </m:oMath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(</w:t>
        </w:r>
      </w:ins>
      <w:hyperlink w:anchor="def-iverson-bracket">
        <w:ins w:id="585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586" w:author="PR Preview" w:date="2026-01-01T00:00:00Z">
        <w:r>
          <w:t xml:space="preserve">).</w:t>
        </w:r>
      </w:ins>
    </w:p>
    <w:bookmarkEnd w:id="30"/>
    <w:bookmarkStart w:id="31" w:name="exm-kronecker-delta"/>
    <w:p>
      <w:pPr>
        <w:pStyle w:val="BodyText"/>
      </w:pPr>
      <w:ins w:id="587" w:author="PR Preview" w:date="2026-01-01T00:00:00Z">
        <w:r>
          <w:rPr>
            <w:b/>
            <w:bCs/>
          </w:rPr>
          <w:t xml:space="preserve">Example 6 (Evaluating the Kronecker delta)</w:t>
        </w:r>
      </w:ins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 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ins w:id="590" w:author="PR Preview" w:date="2026-01-01T00:00:00Z">
        <w:r>
          <w:t xml:space="preserve">1.3 Strengths and limitations of the Iverson bracket</w:t>
        </w:r>
      </w:ins>
    </w:p>
    <w:p>
      <w:pPr>
        <w:pStyle w:val="FirstParagraph"/>
      </w:pPr>
      <w:ins w:id="591" w:author="PR Preview" w:date="2026-01-01T00:00:00Z">
        <w:r>
          <w:t xml:space="preserve">The primary advantage of the Iverson bracket is algebraic conciseness:</w:t>
        </w:r>
      </w:ins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it turns a sum or integral over a subset</w:t>
        </w:r>
      </w:ins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into a sum or integral over a larger, fixed set.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For example,</w:t>
        </w:r>
      </w:ins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if</w:t>
        </w:r>
      </w:ins>
      <w:ins w:id="600" w:author="PR Preview" w:date="2026-01-01T00:00:00Z">
        <w:r>
          <w:t xml:space="preserve"> </w:t>
        </w:r>
      </w:ins>
      <m:oMath>
        <m:r>
          <m:t>U</m:t>
        </m:r>
      </m:oMath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is a</w:t>
        </w:r>
      </w:ins>
      <w:ins w:id="603" w:author="PR Preview" w:date="2026-01-01T00:00:00Z">
        <w:r>
          <w:t xml:space="preserve"> </w:t>
        </w:r>
      </w:ins>
      <w:hyperlink r:id="rId33">
        <w:ins w:id="604" w:author="PR Preview" w:date="2026-01-01T00:00:00Z">
          <w:r>
            <w:rPr>
              <w:rStyle w:val="Hyperlink"/>
            </w:rPr>
            <w:t xml:space="preserve">finite set</w:t>
          </w:r>
        </w:ins>
      </w:hyperlink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that contains</w:t>
        </w:r>
      </w:ins>
      <w:ins w:id="607" w:author="PR Preview" w:date="2026-01-01T00:00:00Z">
        <w:r>
          <w:t xml:space="preserve"> </w:t>
        </w:r>
      </w:ins>
      <m:oMath>
        <m:r>
          <m:t>A</m:t>
        </m:r>
      </m:oMath>
      <w:ins w:id="608" w:author="PR Preview" w:date="2026-01-01T00:00:00Z">
        <w:r>
          <w:t xml:space="preserve">, then: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ins w:id="609" w:author="PR Preview" w:date="2026-01-01T00:00:00Z">
        <w:r>
          <w:t xml:space="preserve">With</w:t>
        </w:r>
      </w:ins>
      <w:ins w:id="61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ins w:id="611" w:author="PR Preview" w:date="2026-01-01T00:00:00Z">
        <w:r>
          <w:t xml:space="preserve">,</w:t>
        </w:r>
      </w:ins>
      <w:ins w:id="61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ins w:id="613" w:author="PR Preview" w:date="2026-01-01T00:00:00Z">
        <w:r>
          <w:t xml:space="preserve">, and</w:t>
        </w:r>
      </w:ins>
      <w:ins w:id="614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ins w:id="615" w:author="PR Preview" w:date="2026-01-01T00:00:00Z">
        <w:r>
          <w:t xml:space="preserve">,</w:t>
        </w:r>
      </w:ins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both sides equal</w:t>
        </w:r>
      </w:ins>
      <w:ins w:id="618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ins w:id="619" w:author="PR Preview" w:date="2026-01-01T00:00:00Z">
        <w:r>
          <w:t xml:space="preserve">.</w:t>
        </w:r>
      </w:ins>
    </w:p>
    <w:p>
      <w:pPr>
        <w:pStyle w:val="BodyText"/>
      </w:pPr>
      <w:ins w:id="620" w:author="PR Preview" w:date="2026-01-01T00:00:00Z">
        <w:r>
          <w:t xml:space="preserve">However,</w:t>
        </w:r>
      </w:ins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in statistics and epidemiology,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square brackets are already heavily overloaded: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they denote</w:t>
        </w:r>
      </w:ins>
      <w:ins w:id="627" w:author="PR Preview" w:date="2026-01-01T00:00:00Z">
        <w:r>
          <w:t xml:space="preserve"> </w:t>
        </w:r>
      </w:ins>
      <w:hyperlink r:id="rId34">
        <w:ins w:id="628" w:author="PR Preview" w:date="2026-01-01T00:00:00Z">
          <w:r>
            <w:rPr>
              <w:rStyle w:val="Hyperlink"/>
            </w:rPr>
            <w:t xml:space="preserve">closed intervals</w:t>
          </w:r>
        </w:ins>
      </w:hyperlink>
      <w:ins w:id="62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630" w:author="PR Preview" w:date="2026-01-01T00:00:00Z">
        <w:r>
          <w:t xml:space="preserve">,</w:t>
        </w:r>
      </w:ins>
      <w:ins w:id="631" w:author="PR Preview" w:date="2026-01-01T00:00:00Z">
        <w:r>
          <w:t xml:space="preserve"> </w:t>
        </w:r>
      </w:ins>
      <w:hyperlink r:id="rId35">
        <w:ins w:id="632" w:author="PR Preview" w:date="2026-01-01T00:00:00Z">
          <w:r>
            <w:rPr>
              <w:rStyle w:val="Hyperlink"/>
            </w:rPr>
            <w:t xml:space="preserve">conditional expectations</w:t>
          </w:r>
        </w:ins>
      </w:hyperlink>
      <w:ins w:id="633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(defined in the probability notes),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and matrix delimiters.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To prevent visual confusion with expectation brackets or intervals,</w:t>
        </w:r>
      </w:ins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statistical literature predominantly uses</w:t>
        </w:r>
      </w:ins>
      <w:ins w:id="64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</m:oMath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or</w:t>
        </w:r>
      </w:ins>
      <w:ins w:id="645" w:author="PR Preview" w:date="2026-01-01T00:00:00Z">
        <w:r>
          <w:t xml:space="preserve"> </w:t>
        </w:r>
      </w:ins>
      <m:oMath>
        <m:r>
          <m:t>I</m:t>
        </m:r>
      </m:oMath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rather than the bare Iverson bracket.</w:t>
        </w:r>
      </w:ins>
    </w:p>
    <w:bookmarkEnd w:id="36"/>
    <w:bookmarkStart w:id="38" w:name="summary-of-indicator-notations"/>
    <w:p>
      <w:pPr>
        <w:pStyle w:val="Heading3"/>
      </w:pPr>
      <w:ins w:id="648" w:author="PR Preview" w:date="2026-01-01T00:00:00Z">
        <w:r>
          <w:t xml:space="preserve">1.4 Summary of indicator notations</w:t>
        </w:r>
      </w:ins>
    </w:p>
    <w:p>
      <w:pPr>
        <w:pStyle w:val="FirstParagraph"/>
      </w:pPr>
      <w:hyperlink w:anchor="tbl-indicator-notations">
        <w:ins w:id="649" w:author="PR Preview" w:date="2026-01-01T00:00:00Z">
          <w:r>
            <w:rPr>
              <w:rStyle w:val="Hyperlink"/>
            </w:rPr>
            <w:t xml:space="preserve">Table 1</w:t>
          </w:r>
        </w:ins>
      </w:hyperlink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compares the major notations encountered across the literature.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ins w:id="652" w:author="PR Preview" w:date="2026-01-01T00:00:00Z">
        <w:r>
          <w:t xml:space="preserve">1.5 Conventions in this book</w:t>
        </w:r>
      </w:ins>
    </w:p>
    <w:p>
      <w:pPr>
        <w:pStyle w:val="FirstParagraph"/>
      </w:pPr>
      <w:ins w:id="653" w:author="PR Preview" w:date="2026-01-01T00:00:00Z">
        <w:r>
          <w:t xml:space="preserve">In these notes,</w:t>
        </w:r>
      </w:ins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we standardize on blackboard bold</w:t>
        </w:r>
      </w:ins>
      <w:ins w:id="65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</m:oMath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via the macros defined in</w:t>
        </w:r>
      </w:ins>
      <w:ins w:id="659" w:author="PR Preview" w:date="2026-01-01T00:00:00Z">
        <w:r>
          <w:t xml:space="preserve"> </w:t>
        </w:r>
      </w:ins>
      <w:ins w:id="660" w:author="PR Preview" w:date="2026-01-01T00:00:00Z">
        <w:r>
          <w:rPr>
            <w:rStyle w:val="VerbatimChar"/>
          </w:rPr>
          <w:t xml:space="preserve">latex-macros/macros.qmd</w:t>
        </w:r>
      </w:ins>
      <w:ins w:id="661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0"/>
        </w:numPr>
      </w:pPr>
      <w:ins w:id="662" w:author="PR Preview" w:date="2026-01-01T00:00:00Z">
        <w:r>
          <w:rPr>
            <w:rStyle w:val="VerbatimChar"/>
          </w:rPr>
          <w:t xml:space="preserve">\indic{A}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produces</w:t>
        </w:r>
      </w:ins>
      <w:ins w:id="665" w:author="PR Preview" w:date="2026-01-01T00:00:00Z">
        <w:r>
          <w:t xml:space="preserve"> </w:t>
        </w:r>
      </w:ins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(set subscript)</w:t>
        </w:r>
      </w:ins>
    </w:p>
    <w:p>
      <w:pPr>
        <w:pStyle w:val="Compact"/>
        <w:numPr>
          <w:ilvl w:val="0"/>
          <w:numId w:val="1010"/>
        </w:numPr>
      </w:pPr>
      <w:ins w:id="668" w:author="PR Preview" w:date="2026-01-01T00:00:00Z">
        <w:r>
          <w:rPr>
            <w:rStyle w:val="VerbatimChar"/>
          </w:rPr>
          <w:t xml:space="preserve">\indicp{P}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produces</w:t>
        </w:r>
      </w:ins>
      <w:ins w:id="671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(predicate in parentheses)</w:t>
        </w:r>
      </w:ins>
    </w:p>
    <w:p>
      <w:pPr>
        <w:pStyle w:val="Compact"/>
        <w:numPr>
          <w:ilvl w:val="0"/>
          <w:numId w:val="1010"/>
        </w:numPr>
      </w:pPr>
      <w:ins w:id="674" w:author="PR Preview" w:date="2026-01-01T00:00:00Z">
        <w:r>
          <w:rPr>
            <w:rStyle w:val="VerbatimChar"/>
          </w:rPr>
          <w:t xml:space="preserve">\indiccb{P}</w:t>
        </w:r>
      </w:ins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produces</w:t>
        </w:r>
      </w:ins>
      <w:ins w:id="677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(predicate in curly braces)</w:t>
        </w:r>
      </w:ins>
    </w:p>
    <w:p>
      <w:pPr>
        <w:pStyle w:val="Compact"/>
        <w:numPr>
          <w:ilvl w:val="0"/>
          <w:numId w:val="1010"/>
        </w:numPr>
      </w:pPr>
      <w:ins w:id="680" w:author="PR Preview" w:date="2026-01-01T00:00:00Z">
        <w:r>
          <w:rPr>
            <w:rStyle w:val="VerbatimChar"/>
          </w:rPr>
          <w:t xml:space="preserve">\1{P}</w:t>
        </w:r>
      </w:ins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produces</w:t>
        </w:r>
      </w:ins>
      <w:ins w:id="683" w:author="PR Preview" w:date="2026-01-01T00:00:00Z">
        <w:r>
          <w:t xml:space="preserve"> </w:t>
        </w:r>
      </w:ins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(text numeral with subscript, used in legacy formulas)</w:t>
        </w:r>
      </w:ins>
    </w:p>
    <w:p>
      <w:pPr>
        <w:pStyle w:val="FirstParagraph"/>
      </w:pPr>
      <w:ins w:id="686" w:author="PR Preview" w:date="2026-01-01T00:00:00Z">
        <w:r>
          <w:t xml:space="preserve">Blackboard bold</w:t>
        </w:r>
      </w:ins>
      <w:ins w:id="687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</m:oMath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is preferred because it avoids all common collisions:</w:t>
        </w:r>
      </w:ins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it is visually distinct from the scalar</w:t>
        </w:r>
      </w:ins>
      <w:ins w:id="692" w:author="PR Preview" w:date="2026-01-01T00:00:00Z">
        <w:r>
          <w:t xml:space="preserve"> </w:t>
        </w:r>
      </w:ins>
      <m:oMath>
        <m:r>
          <m:t>1</m:t>
        </m:r>
      </m:oMath>
      <w:ins w:id="693" w:author="PR Preview" w:date="2026-01-01T00:00:00Z">
        <w:r>
          <w:t xml:space="preserve">,</w:t>
        </w:r>
      </w:ins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the identity matrix</w:t>
        </w:r>
      </w:ins>
      <w:ins w:id="696" w:author="PR Preview" w:date="2026-01-01T00:00:00Z">
        <w:r>
          <w:t xml:space="preserve"> </w:t>
        </w:r>
      </w:ins>
      <m:oMath>
        <m:r>
          <m:t>I</m:t>
        </m:r>
      </m:oMath>
      <w:ins w:id="697" w:author="PR Preview" w:date="2026-01-01T00:00:00Z">
        <w:r>
          <w:t xml:space="preserve">,</w:t>
        </w:r>
      </w:ins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and the observed and expected Fisher information matrices (</w:t>
        </w:r>
      </w:ins>
      <m:oMath>
        <m:r>
          <m:t>I</m:t>
        </m:r>
      </m:oMath>
      <w:ins w:id="700" w:author="PR Preview" w:date="2026-01-01T00:00:00Z">
        <w:r>
          <w:t xml:space="preserve">,</w:t>
        </w:r>
      </w:ins>
      <w:ins w:id="70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</m:oMath>
      <w:ins w:id="702" w:author="PR Preview" w:date="2026-01-01T00:00:00Z">
        <w:r>
          <w:t xml:space="preserve">).</w:t>
        </w:r>
      </w:ins>
    </w:p>
    <w:bookmarkEnd w:id="39"/>
    <w:bookmarkStart w:id="51" w:name="key-algebraic-properties"/>
    <w:p>
      <w:pPr>
        <w:pStyle w:val="Heading3"/>
      </w:pPr>
      <w:ins w:id="703" w:author="PR Preview" w:date="2026-01-01T00:00:00Z">
        <w:r>
          <w:t xml:space="preserve">1.6 Key algebraic properties</w:t>
        </w:r>
      </w:ins>
    </w:p>
    <w:p>
      <w:pPr>
        <w:pStyle w:val="FirstParagraph"/>
      </w:pPr>
      <w:ins w:id="704" w:author="PR Preview" w:date="2026-01-01T00:00:00Z">
        <w:r>
          <w:t xml:space="preserve">Indicator functions translate the logical connectives (</w:t>
        </w:r>
      </w:ins>
      <w:hyperlink r:id="rId40">
        <w:ins w:id="705" w:author="PR Preview" w:date="2026-01-01T00:00:00Z">
          <w:r>
            <w:rPr>
              <w:rStyle w:val="Hyperlink"/>
            </w:rPr>
            <w:t xml:space="preserve">definition</w:t>
          </w:r>
        </w:ins>
      </w:hyperlink>
      <w:ins w:id="706" w:author="PR Preview" w:date="2026-01-01T00:00:00Z">
        <w:r>
          <w:t xml:space="preserve">)</w:t>
        </w:r>
      </w:ins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“and”</w:t>
        </w:r>
      </w:ins>
      <w:ins w:id="709" w:author="PR Preview" w:date="2026-01-01T00:00:00Z">
        <w:r>
          <w:t xml:space="preserve">,</w:t>
        </w:r>
      </w:ins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“or”</w:t>
        </w:r>
      </w:ins>
      <w:ins w:id="712" w:author="PR Preview" w:date="2026-01-01T00:00:00Z">
        <w:r>
          <w:t xml:space="preserve">, and</w:t>
        </w:r>
      </w:ins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“not”</w:t>
        </w:r>
      </w:ins>
      <w:ins w:id="715" w:author="PR Preview" w:date="2026-01-01T00:00:00Z">
        <w:r>
          <w:t xml:space="preserve">, applied to set membership,</w:t>
        </w:r>
      </w:ins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into ordinary arithmetic on real numbers.</w:t>
        </w:r>
      </w:ins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One of the identities below uses idempotence:</w:t>
        </w:r>
      </w:ins>
    </w:p>
    <w:bookmarkStart w:id="42" w:name="def-idempotent"/>
    <w:p>
      <w:pPr>
        <w:pStyle w:val="BodyText"/>
      </w:pPr>
      <w:ins w:id="720" w:author="PR Preview" w:date="2026-01-01T00:00:00Z">
        <w:r>
          <w:rPr>
            <w:b/>
            <w:bCs/>
          </w:rPr>
          <w:t xml:space="preserve">Definition 9 (Idempotent)</w:t>
        </w:r>
      </w:ins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A number</w:t>
        </w:r>
      </w:ins>
      <w:ins w:id="723" w:author="PR Preview" w:date="2026-01-01T00:00:00Z">
        <w:r>
          <w:t xml:space="preserve"> </w:t>
        </w:r>
      </w:ins>
      <m:oMath>
        <m:r>
          <m:t>a</m:t>
        </m:r>
      </m:oMath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is</w:t>
        </w:r>
      </w:ins>
      <w:ins w:id="726" w:author="PR Preview" w:date="2026-01-01T00:00:00Z">
        <w:r>
          <w:t xml:space="preserve"> </w:t>
        </w:r>
      </w:ins>
      <w:ins w:id="727" w:author="PR Preview" w:date="2026-01-01T00:00:00Z">
        <w:r>
          <w:rPr>
            <w:b/>
            <w:bCs/>
          </w:rPr>
          <w:t xml:space="preserve">idempotent</w:t>
        </w:r>
      </w:ins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if</w:t>
        </w:r>
      </w:ins>
      <w:ins w:id="73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ins w:id="731" w:author="PR Preview" w:date="2026-01-01T00:00:00Z">
        <w:r>
          <w:t xml:space="preserve">.</w:t>
        </w:r>
      </w:ins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A function</w:t>
        </w:r>
      </w:ins>
      <w:ins w:id="734" w:author="PR Preview" w:date="2026-01-01T00:00:00Z">
        <w:r>
          <w:t xml:space="preserve"> </w:t>
        </w:r>
      </w:ins>
      <m:oMath>
        <m:r>
          <m:t>f</m:t>
        </m:r>
      </m:oMath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with real values is</w:t>
        </w:r>
      </w:ins>
      <w:ins w:id="737" w:author="PR Preview" w:date="2026-01-01T00:00:00Z">
        <w:r>
          <w:t xml:space="preserve"> </w:t>
        </w:r>
      </w:ins>
      <w:ins w:id="738" w:author="PR Preview" w:date="2026-01-01T00:00:00Z">
        <w:r>
          <w:rPr>
            <w:b/>
            <w:bCs/>
          </w:rPr>
          <w:t xml:space="preserve">idempotent</w:t>
        </w:r>
      </w:ins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if</w:t>
        </w:r>
      </w:ins>
      <w:ins w:id="74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for every</w:t>
        </w:r>
      </w:ins>
      <w:ins w:id="744" w:author="PR Preview" w:date="2026-01-01T00:00:00Z">
        <w:r>
          <w:t xml:space="preserve"> </w:t>
        </w:r>
      </w:ins>
      <m:oMath>
        <m:r>
          <m:t>x</m:t>
        </m:r>
      </m:oMath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in its</w:t>
        </w:r>
      </w:ins>
      <w:ins w:id="747" w:author="PR Preview" w:date="2026-01-01T00:00:00Z">
        <w:r>
          <w:t xml:space="preserve"> </w:t>
        </w:r>
      </w:ins>
      <w:hyperlink r:id="rId41">
        <w:ins w:id="748" w:author="PR Preview" w:date="2026-01-01T00:00:00Z">
          <w:r>
            <w:rPr>
              <w:rStyle w:val="Hyperlink"/>
            </w:rPr>
            <w:t xml:space="preserve">domain</w:t>
          </w:r>
        </w:ins>
      </w:hyperlink>
      <w:ins w:id="749" w:author="PR Preview" w:date="2026-01-01T00:00:00Z">
        <w:r>
          <w:t xml:space="preserve">.</w:t>
        </w:r>
      </w:ins>
    </w:p>
    <w:bookmarkEnd w:id="42"/>
    <w:bookmarkStart w:id="44" w:name="exm-idempotent-indicator"/>
    <w:p>
      <w:pPr>
        <w:pStyle w:val="BodyText"/>
      </w:pPr>
      <w:ins w:id="750" w:author="PR Preview" w:date="2026-01-01T00:00:00Z">
        <w:r>
          <w:rPr>
            <w:b/>
            <w:bCs/>
          </w:rPr>
          <w:t xml:space="preserve">Example 7 (Idempotent numbers and indicators)</w:t>
        </w:r>
      </w:ins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 </w:t>
        </w:r>
      </w:ins>
    </w:p>
    <w:p>
      <w:pPr>
        <w:numPr>
          <w:ilvl w:val="0"/>
          <w:numId w:val="1011"/>
        </w:numPr>
      </w:pPr>
      <m:oMath>
        <m:r>
          <m:t>0</m:t>
        </m:r>
      </m:oMath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and</w:t>
        </w:r>
      </w:ins>
      <w:ins w:id="755" w:author="PR Preview" w:date="2026-01-01T00:00:00Z">
        <w:r>
          <w:t xml:space="preserve"> </w:t>
        </w:r>
      </w:ins>
      <m:oMath>
        <m:r>
          <m:t>1</m:t>
        </m:r>
      </m:oMath>
      <w:ins w:id="756" w:author="PR Preview" w:date="2026-01-01T00:00:00Z">
        <w:r>
          <w:t xml:space="preserve"> </w:t>
        </w:r>
      </w:ins>
      <w:ins w:id="757" w:author="PR Preview" w:date="2026-01-01T00:00:00Z">
        <w:r>
          <w:t xml:space="preserve">are idempotent:</w:t>
        </w:r>
      </w:ins>
      <w:ins w:id="758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and</w:t>
        </w:r>
      </w:ins>
      <w:ins w:id="76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ins w:id="762" w:author="PR Preview" w:date="2026-01-01T00:00:00Z">
        <w:r>
          <w:t xml:space="preserve">.</w:t>
        </w:r>
      </w:ins>
    </w:p>
    <w:p>
      <w:pPr>
        <w:numPr>
          <w:ilvl w:val="0"/>
          <w:numId w:val="1011"/>
        </w:numPr>
      </w:pPr>
      <m:oMath>
        <m:r>
          <m:t>2</m:t>
        </m:r>
      </m:oMath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is not idempotent:</w:t>
        </w:r>
      </w:ins>
      <w:ins w:id="765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ins w:id="766" w:author="PR Preview" w:date="2026-01-01T00:00:00Z">
        <w:r>
          <w:t xml:space="preserve">.</w:t>
        </w:r>
      </w:ins>
    </w:p>
    <w:p>
      <w:pPr>
        <w:numPr>
          <w:ilvl w:val="0"/>
          <w:numId w:val="1011"/>
        </w:numPr>
      </w:pPr>
      <w:ins w:id="767" w:author="PR Preview" w:date="2026-01-01T00:00:00Z">
        <w:r>
          <w:t xml:space="preserve">Every indicator function</w:t>
        </w:r>
      </w:ins>
      <w:ins w:id="768" w:author="PR Preview" w:date="2026-01-01T00:00:00Z">
        <w:r>
          <w:t xml:space="preserve"> </w:t>
        </w:r>
      </w:ins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is idempotent,</w:t>
        </w:r>
      </w:ins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because each of its values is</w:t>
        </w:r>
      </w:ins>
      <w:ins w:id="773" w:author="PR Preview" w:date="2026-01-01T00:00:00Z">
        <w:r>
          <w:t xml:space="preserve"> </w:t>
        </w:r>
      </w:ins>
      <m:oMath>
        <m:r>
          <m:t>0</m:t>
        </m:r>
      </m:oMath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or</w:t>
        </w:r>
      </w:ins>
      <w:ins w:id="776" w:author="PR Preview" w:date="2026-01-01T00:00:00Z">
        <w:r>
          <w:t xml:space="preserve"> </w:t>
        </w:r>
      </w:ins>
      <m:oMath>
        <m:r>
          <m:t>1</m:t>
        </m:r>
      </m:oMath>
      <w:ins w:id="777" w:author="PR Preview" w:date="2026-01-01T00:00:00Z">
        <w:r>
          <w:t xml:space="preserve">.</w:t>
        </w:r>
      </w:ins>
      <w:ins w:id="778" w:author="PR Preview" w:date="2026-01-01T00:00:00Z">
        <w:r>
          <w:t xml:space="preserve"> </w:t>
        </w:r>
      </w:ins>
      <w:ins w:id="779" w:author="PR Preview" w:date="2026-01-01T00:00:00Z">
        <w:r>
          <w:t xml:space="preserve">For example, with</w:t>
        </w:r>
      </w:ins>
      <w:ins w:id="78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78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782" w:author="PR Preview" w:date="2026-01-01T00:00:00Z">
        <w:r>
          <w:t xml:space="preserve">The</w:t>
        </w:r>
      </w:ins>
      <w:ins w:id="783" w:author="PR Preview" w:date="2026-01-01T00:00:00Z">
        <w:r>
          <w:t xml:space="preserve"> </w:t>
        </w:r>
      </w:ins>
      <w:hyperlink r:id="rId43">
        <w:ins w:id="784" w:author="PR Preview" w:date="2026-01-01T00:00:00Z">
          <w:r>
            <w:rPr>
              <w:rStyle w:val="Hyperlink"/>
            </w:rPr>
            <w:t xml:space="preserve">idempotent matrices</w:t>
          </w:r>
        </w:ins>
      </w:hyperlink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of linear algebra satisfy the same equation with matrix multiplication:</w:t>
        </w:r>
      </w:ins>
      <w:ins w:id="787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for a square matrix</w:t>
        </w:r>
      </w:ins>
      <w:ins w:id="790" w:author="PR Preview" w:date="2026-01-01T00:00:00Z">
        <w:r>
          <w:t xml:space="preserve"> </w:t>
        </w:r>
      </w:ins>
      <m:oMath>
        <m:r>
          <m:rPr>
            <m:sty m:val="bi"/>
          </m:rPr>
          <m:t>M</m:t>
        </m:r>
      </m:oMath>
      <w:ins w:id="791" w:author="PR Preview" w:date="2026-01-01T00:00:00Z">
        <w:r>
          <w:t xml:space="preserve">.</w:t>
        </w:r>
      </w:ins>
    </w:p>
    <w:bookmarkEnd w:id="44"/>
    <w:p>
      <w:pPr>
        <w:pStyle w:val="BodyText"/>
      </w:pPr>
      <w:ins w:id="792" w:author="PR Preview" w:date="2026-01-01T00:00:00Z">
        <w:r>
          <w:t xml:space="preserve">For subsets</w:t>
        </w:r>
      </w:ins>
      <w:ins w:id="793" w:author="PR Preview" w:date="2026-01-01T00:00:00Z">
        <w:r>
          <w:t xml:space="preserve"> </w:t>
        </w:r>
      </w:ins>
      <m:oMath>
        <m:r>
          <m:t>A</m:t>
        </m:r>
      </m:oMath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and</w:t>
        </w:r>
      </w:ins>
      <w:ins w:id="796" w:author="PR Preview" w:date="2026-01-01T00:00:00Z">
        <w:r>
          <w:t xml:space="preserve"> </w:t>
        </w:r>
      </w:ins>
      <m:oMath>
        <m:r>
          <m:t>B</m:t>
        </m:r>
      </m:oMath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of</w:t>
        </w:r>
      </w:ins>
      <w:ins w:id="799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800" w:author="PR Preview" w:date="2026-01-01T00:00:00Z">
        <w:r>
          <w:t xml:space="preserve">,</w:t>
        </w:r>
      </w:ins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with</w:t>
        </w:r>
      </w:ins>
      <w:ins w:id="803" w:author="PR Preview" w:date="2026-01-01T00:00:00Z">
        <w:r>
          <w:t xml:space="preserve"> </w:t>
        </w:r>
      </w:ins>
      <w:hyperlink r:id="rId45">
        <w:ins w:id="804" w:author="PR Preview" w:date="2026-01-01T00:00:00Z">
          <w:r>
            <w:rPr>
              <w:rStyle w:val="Hyperlink"/>
            </w:rPr>
            <w:t xml:space="preserve">complement</w:t>
          </w:r>
        </w:ins>
      </w:hyperlink>
      <w:ins w:id="805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ins w:id="806" w:author="PR Preview" w:date="2026-01-01T00:00:00Z">
        <w:r>
          <w:t xml:space="preserve">,</w:t>
        </w:r>
      </w:ins>
      <w:ins w:id="807" w:author="PR Preview" w:date="2026-01-01T00:00:00Z">
        <w:r>
          <w:t xml:space="preserve"> </w:t>
        </w:r>
      </w:ins>
      <w:ins w:id="808" w:author="PR Preview" w:date="2026-01-01T00:00:00Z">
        <w:r>
          <w:t xml:space="preserve">and for every</w:t>
        </w:r>
      </w:ins>
      <w:ins w:id="80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ins w:id="810" w:author="PR Preview" w:date="2026-01-01T00:00:00Z">
        <w:r>
          <w:t xml:space="preserve">:</w:t>
        </w:r>
      </w:ins>
    </w:p>
    <w:p>
      <w:pPr>
        <w:numPr>
          <w:ilvl w:val="0"/>
          <w:numId w:val="1012"/>
        </w:numPr>
      </w:pPr>
      <w:ins w:id="811" w:author="PR Preview" w:date="2026-01-01T00:00:00Z">
        <w:r>
          <w:rPr>
            <w:b/>
            <w:bCs/>
          </w:rPr>
          <w:t xml:space="preserve">Intersection (</w:t>
        </w:r>
      </w:ins>
      <w:ins w:id="812" w:author="PR Preview" w:date="2026-01-01T00:00:00Z">
        <w:r>
          <w:rPr>
            <w:b/>
            <w:bCs/>
          </w:rPr>
          <w:t xml:space="preserve">“and”</w:t>
        </w:r>
      </w:ins>
      <w:ins w:id="813" w:author="PR Preview" w:date="2026-01-01T00:00:00Z">
        <w:r>
          <w:rPr>
            <w:b/>
            <w:bCs/>
          </w:rPr>
          <w:t xml:space="preserve">):</w:t>
        </w:r>
      </w:ins>
      <w:ins w:id="814" w:author="PR Preview" w:date="2026-01-01T00:00:00Z">
        <w:r>
          <w:t xml:space="preserve"> </w:t>
        </w:r>
      </w:ins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ins w:id="815" w:author="PR Preview" w:date="2026-01-01T00:00:00Z">
        <w:r>
          <w:rPr>
            <w:b/>
            <w:bCs/>
          </w:rPr>
          <w:t xml:space="preserve">Union (</w:t>
        </w:r>
      </w:ins>
      <w:ins w:id="816" w:author="PR Preview" w:date="2026-01-01T00:00:00Z">
        <w:r>
          <w:rPr>
            <w:b/>
            <w:bCs/>
          </w:rPr>
          <w:t xml:space="preserve">“or”</w:t>
        </w:r>
      </w:ins>
      <w:ins w:id="817" w:author="PR Preview" w:date="2026-01-01T00:00:00Z">
        <w:r>
          <w:rPr>
            <w:b/>
            <w:bCs/>
          </w:rPr>
          <w:t xml:space="preserve">):</w:t>
        </w:r>
      </w:ins>
      <w:ins w:id="818" w:author="PR Preview" w:date="2026-01-01T00:00:00Z">
        <w:r>
          <w:t xml:space="preserve"> </w:t>
        </w:r>
      </w:ins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ins w:id="819" w:author="PR Preview" w:date="2026-01-01T00:00:00Z">
        <w:r>
          <w:rPr>
            <w:b/>
            <w:bCs/>
          </w:rPr>
          <w:t xml:space="preserve">Complement (</w:t>
        </w:r>
      </w:ins>
      <w:ins w:id="820" w:author="PR Preview" w:date="2026-01-01T00:00:00Z">
        <w:r>
          <w:rPr>
            <w:b/>
            <w:bCs/>
          </w:rPr>
          <w:t xml:space="preserve">“not”</w:t>
        </w:r>
      </w:ins>
      <w:ins w:id="821" w:author="PR Preview" w:date="2026-01-01T00:00:00Z">
        <w:r>
          <w:rPr>
            <w:b/>
            <w:bCs/>
          </w:rPr>
          <w:t xml:space="preserve">):</w:t>
        </w:r>
      </w:ins>
      <w:ins w:id="822" w:author="PR Preview" w:date="2026-01-01T00:00:00Z">
        <w:r>
          <w:t xml:space="preserve"> </w:t>
        </w:r>
      </w:ins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ins w:id="823" w:author="PR Preview" w:date="2026-01-01T00:00:00Z">
        <w:r>
          <w:rPr>
            <w:b/>
            <w:bCs/>
          </w:rPr>
          <w:t xml:space="preserve">Idempotence (</w:t>
        </w:r>
      </w:ins>
      <w:hyperlink w:anchor="def-idempotent">
        <w:ins w:id="824" w:author="PR Preview" w:date="2026-01-01T00:00:00Z">
          <w:r>
            <w:rPr>
              <w:rStyle w:val="Hyperlink"/>
              <w:b/>
              <w:bCs/>
            </w:rPr>
            <w:t xml:space="preserve">Definition 9</w:t>
          </w:r>
        </w:ins>
      </w:hyperlink>
      <w:ins w:id="825" w:author="PR Preview" w:date="2026-01-01T00:00:00Z">
        <w:r>
          <w:rPr>
            <w:b/>
            <w:bCs/>
          </w:rPr>
          <w:t xml:space="preserve">):</w:t>
        </w:r>
      </w:ins>
      <w:ins w:id="82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ins w:id="827" w:author="PR Preview" w:date="2026-01-01T00:00:00Z">
        <w:r>
          <w:rPr>
            <w:b/>
            <w:bCs/>
          </w:rPr>
          <w:t xml:space="preserve">Expectation gives probability:</w:t>
        </w:r>
      </w:ins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When</w:t>
        </w:r>
      </w:ins>
      <w:ins w:id="830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is a</w:t>
        </w:r>
      </w:ins>
      <w:ins w:id="833" w:author="PR Preview" w:date="2026-01-01T00:00:00Z">
        <w:r>
          <w:t xml:space="preserve"> </w:t>
        </w:r>
      </w:ins>
      <w:hyperlink r:id="rId46">
        <w:ins w:id="834" w:author="PR Preview" w:date="2026-01-01T00:00:00Z">
          <w:r>
            <w:rPr>
              <w:rStyle w:val="Hyperlink"/>
            </w:rPr>
            <w:t xml:space="preserve">sample space</w:t>
          </w:r>
        </w:ins>
      </w:hyperlink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and</w:t>
        </w:r>
      </w:ins>
      <w:ins w:id="837" w:author="PR Preview" w:date="2026-01-01T00:00:00Z">
        <w:r>
          <w:t xml:space="preserve"> </w:t>
        </w:r>
      </w:ins>
      <m:oMath>
        <m:r>
          <m:t>A</m:t>
        </m:r>
      </m:oMath>
      <w:ins w:id="838" w:author="PR Preview" w:date="2026-01-01T00:00:00Z">
        <w:r>
          <w:t xml:space="preserve"> </w:t>
        </w:r>
      </w:ins>
      <w:ins w:id="839" w:author="PR Preview" w:date="2026-01-01T00:00:00Z">
        <w:r>
          <w:t xml:space="preserve">is an</w:t>
        </w:r>
      </w:ins>
      <w:ins w:id="840" w:author="PR Preview" w:date="2026-01-01T00:00:00Z">
        <w:r>
          <w:t xml:space="preserve"> </w:t>
        </w:r>
      </w:ins>
      <w:hyperlink r:id="rId47">
        <w:ins w:id="841" w:author="PR Preview" w:date="2026-01-01T00:00:00Z">
          <w:r>
            <w:rPr>
              <w:rStyle w:val="Hyperlink"/>
            </w:rPr>
            <w:t xml:space="preserve">event</w:t>
          </w:r>
        </w:ins>
      </w:hyperlink>
      <w:ins w:id="842" w:author="PR Preview" w:date="2026-01-01T00:00:00Z">
        <w:r>
          <w:t xml:space="preserve">,</w:t>
        </w:r>
      </w:ins>
      <w:ins w:id="843" w:author="PR Preview" w:date="2026-01-01T00:00:00Z">
        <w:r>
          <w:t xml:space="preserve"> </w:t>
        </w:r>
      </w:ins>
      <w:ins w:id="844" w:author="PR Preview" w:date="2026-01-01T00:00:00Z">
        <w:r>
          <w:t xml:space="preserve">the</w:t>
        </w:r>
      </w:ins>
      <w:ins w:id="845" w:author="PR Preview" w:date="2026-01-01T00:00:00Z">
        <w:r>
          <w:t xml:space="preserve"> </w:t>
        </w:r>
      </w:ins>
      <w:hyperlink r:id="rId48">
        <w:ins w:id="846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847" w:author="PR Preview" w:date="2026-01-01T00:00:00Z">
        <w:r>
          <w:t xml:space="preserve"> </w:t>
        </w:r>
      </w:ins>
      <w:ins w:id="848" w:author="PR Preview" w:date="2026-01-01T00:00:00Z">
        <w:r>
          <w:t xml:space="preserve">of its indicator is the</w:t>
        </w:r>
      </w:ins>
      <w:ins w:id="849" w:author="PR Preview" w:date="2026-01-01T00:00:00Z">
        <w:r>
          <w:t xml:space="preserve"> </w:t>
        </w:r>
      </w:ins>
      <w:hyperlink r:id="rId49">
        <w:ins w:id="850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851" w:author="PR Preview" w:date="2026-01-01T00:00:00Z">
        <w:r>
          <w:t xml:space="preserve"> </w:t>
        </w:r>
      </w:ins>
      <w:ins w:id="852" w:author="PR Preview" w:date="2026-01-01T00:00:00Z">
        <w:r>
          <w:t xml:space="preserve">of the event</w:t>
        </w:r>
      </w:ins>
      <w:ins w:id="853" w:author="PR Preview" w:date="2026-01-01T00:00:00Z">
        <w:r>
          <w:t xml:space="preserve"> </w:t>
        </w:r>
      </w:ins>
      <w:ins w:id="854" w:author="PR Preview" w:date="2026-01-01T00:00:00Z">
        <w:r>
          <w:t xml:space="preserve">(all four terms are defined in the Morrison Lab’s probability notes):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855" w:author="PR Preview" w:date="2026-01-01T00:00:00Z">
        <w:r>
          <w:t xml:space="preserve">This</w:t>
        </w:r>
      </w:ins>
      <w:ins w:id="856" w:author="PR Preview" w:date="2026-01-01T00:00:00Z">
        <w:r>
          <w:t xml:space="preserve"> </w:t>
        </w:r>
      </w:ins>
      <w:hyperlink r:id="rId50">
        <w:ins w:id="857" w:author="PR Preview" w:date="2026-01-01T00:00:00Z">
          <w:r>
            <w:rPr>
              <w:rStyle w:val="Hyperlink"/>
            </w:rPr>
            <w:t xml:space="preserve">identity</w:t>
          </w:r>
        </w:ins>
      </w:hyperlink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turns probabilities into expectations.</w:t>
        </w:r>
      </w:ins>
      <w:ins w:id="860" w:author="PR Preview" w:date="2026-01-01T00:00:00Z">
        <w:r>
          <w:t xml:space="preserve"> </w:t>
        </w:r>
      </w:ins>
      <w:ins w:id="861" w:author="PR Preview" w:date="2026-01-01T00:00:00Z">
        <w:r>
          <w:t xml:space="preserve">It is the mathematical foundation for:</w:t>
        </w:r>
      </w:ins>
    </w:p>
    <w:p>
      <w:pPr>
        <w:pStyle w:val="Compact"/>
        <w:numPr>
          <w:ilvl w:val="0"/>
          <w:numId w:val="1013"/>
        </w:numPr>
      </w:pPr>
      <w:ins w:id="862" w:author="PR Preview" w:date="2026-01-01T00:00:00Z">
        <w:r>
          <w:t xml:space="preserve">empirical proportions;</w:t>
        </w:r>
      </w:ins>
    </w:p>
    <w:p>
      <w:pPr>
        <w:pStyle w:val="Compact"/>
        <w:numPr>
          <w:ilvl w:val="0"/>
          <w:numId w:val="1013"/>
        </w:numPr>
      </w:pPr>
      <w:ins w:id="863" w:author="PR Preview" w:date="2026-01-01T00:00:00Z">
        <w:r>
          <w:t xml:space="preserve">estimators of survival curves,</w:t>
        </w:r>
      </w:ins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the probability of no event by each time;</w:t>
        </w:r>
      </w:ins>
    </w:p>
    <w:p>
      <w:pPr>
        <w:pStyle w:val="Compact"/>
        <w:numPr>
          <w:ilvl w:val="0"/>
          <w:numId w:val="1013"/>
        </w:numPr>
      </w:pPr>
      <w:ins w:id="866" w:author="PR Preview" w:date="2026-01-01T00:00:00Z">
        <w:r>
          <w:t xml:space="preserve">regression models for binary outcomes.</w:t>
        </w:r>
      </w:ins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2026-10-16T04:08:04Z</dcterms:created>
  <dcterms:modified xsi:type="dcterms:W3CDTF">2026-10-16T04:08:04Z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20:42:14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