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2026-10-04 13:18:13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4"/>
          <w:p/>
        </w:tc>
      </w:tr>
    </w:tbl>
    <w:bookmarkStart w:id="16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16"/>
    <w:bookmarkStart w:id="26" w:name="sec-notation-naturals"/>
    <w:p>
      <w:pPr>
        <w:pStyle w:val="Heading2"/>
      </w:pPr>
      <w:r>
        <w:t xml:space="preserve">2 Natural numbers</w:t>
      </w:r>
    </w:p>
    <w:bookmarkStart w:id="17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17"/>
    <w:bookmarkStart w:id="18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8"/>
    <w:bookmarkStart w:id="19" w:name="def-natural-numbers"/>
    <w:p>
      <w:pPr>
        <w:pStyle w:val="BodyText"/>
      </w:pPr>
      <w:r>
        <w:rPr>
          <w:b/>
          <w:bCs/>
        </w:rPr>
        <w:t xml:space="preserve">Definition 1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9"/>
    <w:bookmarkStart w:id="20" w:name="def-nonnegative-integers"/>
    <w:p>
      <w:pPr>
        <w:pStyle w:val="FirstParagraph"/>
      </w:pPr>
      <w:r>
        <w:rPr>
          <w:b/>
          <w:bCs/>
        </w:rPr>
        <w:t xml:space="preserve">Definition 2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1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0"/>
    <w:bookmarkStart w:id="21" w:name="exm-natural-numbers"/>
    <w:p>
      <w:pPr>
        <w:pStyle w:val="FirstParagraph"/>
      </w:pPr>
      <w:r>
        <w:rPr>
          <w:b/>
          <w:bCs/>
        </w:rPr>
        <w:t xml:space="preserve">Example 1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6"/>
    <w:bookmarkStart w:id="28" w:name="percent-sign"/>
    <w:p>
      <w:pPr>
        <w:pStyle w:val="Heading2"/>
      </w:pPr>
      <w:r>
        <w:t xml:space="preserve">3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27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</m:e>
          </m:eqArr>
        </m:oMath>
      </m:oMathPara>
    </w:p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28"/>
    <w:bookmarkStart w:id="29" w:name="proofs"/>
    <w:p>
      <w:pPr>
        <w:pStyle w:val="Heading2"/>
      </w:pPr>
      <w:r>
        <w:t xml:space="preserve">4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bookmarkEnd w:id="29"/>
    <w:bookmarkStart w:id="49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30" w:name="def-indicator-function"/>
    <w:p>
      <w:pPr>
        <w:pStyle w:val="BodyText"/>
      </w:pPr>
      <w:r>
        <w:rPr>
          <w:b/>
          <w:bCs/>
        </w:rPr>
        <w:t xml:space="preserve">Definition 3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0"/>
    <w:bookmarkStart w:id="32" w:name="exm-indicator-numerical"/>
    <w:p>
      <w:pPr>
        <w:pStyle w:val="FirstParagraph"/>
      </w:pPr>
      <w:r>
        <w:rPr>
          <w:b/>
          <w:bCs/>
        </w:rPr>
        <w:t xml:space="preserve">Example 2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6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33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33"/>
    <w:bookmarkStart w:id="3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34"/>
    <w:bookmarkStart w:id="35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35"/>
    <w:bookmarkEnd w:id="36"/>
    <w:bookmarkStart w:id="43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38" w:name="def-iverson-bracket"/>
    <w:p>
      <w:pPr>
        <w:pStyle w:val="BodyText"/>
      </w:pPr>
      <w:r>
        <w:rPr>
          <w:b/>
          <w:bCs/>
        </w:rPr>
        <w:t xml:space="preserve">Definition 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38"/>
    <w:bookmarkStart w:id="39" w:name="exm-iverson-bracket"/>
    <w:p>
      <w:pPr>
        <w:pStyle w:val="FirstParagraph"/>
      </w:pPr>
      <w:r>
        <w:rPr>
          <w:b/>
          <w:bCs/>
        </w:rPr>
        <w:t xml:space="preserve">Example 3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39"/>
    <w:bookmarkStart w:id="40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3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"/>
    <w:bookmarkStart w:id="41" w:name="def-kronecker-delta"/>
    <w:p>
      <w:pPr>
        <w:pStyle w:val="BodyText"/>
      </w:pPr>
      <w:r>
        <w:rPr>
          <w:b/>
          <w:bCs/>
        </w:rPr>
        <w:t xml:space="preserve">Definition 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1"/>
    <w:bookmarkStart w:id="42" w:name="exm-kronecker-delta"/>
    <w:p>
      <w:pPr>
        <w:pStyle w:val="BodyText"/>
      </w:pPr>
      <w:r>
        <w:rPr>
          <w:b/>
          <w:bCs/>
        </w:rPr>
        <w:t xml:space="preserve">Example 4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2"/>
    <w:bookmarkEnd w:id="43"/>
    <w:bookmarkStart w:id="44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 finite set 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44"/>
    <w:bookmarkStart w:id="46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45"/>
          <w:p/>
        </w:tc>
      </w:tr>
    </w:tbl>
    <w:bookmarkEnd w:id="46"/>
    <w:bookmarkStart w:id="47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47"/>
    <w:bookmarkStart w:id="48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 complement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48"/>
    <w:bookmarkEnd w:id="49"/>
    <w:bookmarkStart w:id="63" w:name="sec-notational-shorthands"/>
    <w:p>
      <w:pPr>
        <w:pStyle w:val="Heading2"/>
      </w:pPr>
      <w:r>
        <w:t xml:space="preserve">6 Notational shorthands</w:t>
      </w:r>
    </w:p>
    <w:bookmarkStart w:id="50" w:name="def-notational-shorthand"/>
    <w:p>
      <w:pPr>
        <w:pStyle w:val="FirstParagraph"/>
      </w:pPr>
      <w:r>
        <w:rPr>
          <w:b/>
          <w:bCs/>
        </w:rPr>
        <w:t xml:space="preserve">Definition 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5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53" w:name="def-range-of-variable"/>
    <w:p>
      <w:pPr>
        <w:pStyle w:val="FirstParagraph"/>
      </w:pPr>
      <w:r>
        <w:rPr>
          <w:b/>
          <w:bCs/>
        </w:rPr>
        <w:t xml:space="preserve">Definition 7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57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58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59"/>
          <w:p/>
        </w:tc>
      </w:tr>
    </w:tbl>
    <w:bookmarkStart w:id="61" w:name="rem-indefinite-integral-not-shorthand"/>
    <w:p>
      <w:pPr>
        <w:pStyle w:val="BodyText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6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61"/>
    <w:bookmarkStart w:id="62" w:name="exm-expand-index-shorthand"/>
    <w:p>
      <w:pPr>
        <w:pStyle w:val="BodyText"/>
      </w:pPr>
      <w:r>
        <w:rPr>
          <w:b/>
          <w:bCs/>
        </w:rPr>
        <w:t xml:space="preserve">Example 5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2"/>
    <w:bookmarkEnd w:id="63"/>
    <w:bookmarkStart w:id="7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6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6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6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6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6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6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70"/>
    <w:bookmarkStart w:id="72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15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 logical connectives and quantifiers,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15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and first-order logic.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71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3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4"/>
    <w:bookmarkStart w:id="76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7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6"/>
    <w:bookmarkStart w:id="78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77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.qmd#def-sum-over-set" TargetMode="External" /><Relationship Type="http://schemas.openxmlformats.org/officeDocument/2006/relationships/hyperlink" Id="rId58" Target="algebra.qmd#def-summation" TargetMode="External" /><Relationship Type="http://schemas.openxmlformats.org/officeDocument/2006/relationships/hyperlink" Id="rId9" Target="algebra.qmd#sec-summation" TargetMode="External" /><Relationship Type="http://schemas.openxmlformats.org/officeDocument/2006/relationships/hyperlink" Id="rId60" Target="calculus.qmd#def-indefinite-integral" TargetMode="External" /><Relationship Type="http://schemas.openxmlformats.org/officeDocument/2006/relationships/hyperlink" Id="rId77" Target="https://doi.org/10.1017/9781108539890" TargetMode="External" /><Relationship Type="http://schemas.openxmlformats.org/officeDocument/2006/relationships/hyperlink" Id="rId75" Target="https://doi.org/10.2307/2344614" TargetMode="External" /><Relationship Type="http://schemas.openxmlformats.org/officeDocument/2006/relationships/hyperlink" Id="rId25" Target="https://en.wikipedia.org/w/index.php?title=Natural_number&amp;oldid=1375965996" TargetMode="External" /><Relationship Type="http://schemas.openxmlformats.org/officeDocument/2006/relationships/hyperlink" Id="rId65" Target="https://en.wikipedia.org/wiki/Al-Jabr" TargetMode="External" /><Relationship Type="http://schemas.openxmlformats.org/officeDocument/2006/relationships/hyperlink" Id="rId66" Target="https://en.wikipedia.org/wiki/Arithmetic#History" TargetMode="External" /><Relationship Type="http://schemas.openxmlformats.org/officeDocument/2006/relationships/hyperlink" Id="rId13" Target="https://en.wikipedia.org/wiki/Generalized_linear_model#:~:text=The%20linear%20predictor%20is%20the,data%20through%20the%20link%20function" TargetMode="External" /><Relationship Type="http://schemas.openxmlformats.org/officeDocument/2006/relationships/hyperlink" Id="rId68" Target="https://en.wikipedia.org/wiki/History_of_statistics#Development_of_modern_statistics" TargetMode="External" /><Relationship Type="http://schemas.openxmlformats.org/officeDocument/2006/relationships/hyperlink" Id="rId37" Target="https://en.wikipedia.org/wiki/Iverson_bracket" TargetMode="External" /><Relationship Type="http://schemas.openxmlformats.org/officeDocument/2006/relationships/hyperlink" Id="rId64" Target="https://en.wikipedia.org/wiki/Leibniz%27s_notation" TargetMode="External" /><Relationship Type="http://schemas.openxmlformats.org/officeDocument/2006/relationships/hyperlink" Id="rId67" Target="https://en.wikipedia.org/wiki/Notation_for_differentiation" TargetMode="External" /><Relationship Type="http://schemas.openxmlformats.org/officeDocument/2006/relationships/hyperlink" Id="rId27" Target="https://en.wikipedia.org/wiki/Percentage" TargetMode="External" /><Relationship Type="http://schemas.openxmlformats.org/officeDocument/2006/relationships/hyperlink" Id="rId69" Target="https://en.wikipedia.org/wiki/The_Structure_of_Scientific_Revolutions" TargetMode="External" /><Relationship Type="http://schemas.openxmlformats.org/officeDocument/2006/relationships/hyperlink" Id="rId10" Target="https://morrison-lab.github.io/pds/expectation.html#def-expectation" TargetMode="External" /><Relationship Type="http://schemas.openxmlformats.org/officeDocument/2006/relationships/hyperlink" Id="rId12" Target="https://morrison-lab.github.io/pds/independence.html#def-indpt" TargetMode="External" /><Relationship Type="http://schemas.openxmlformats.org/officeDocument/2006/relationships/hyperlink" Id="rId31" Target="https://morrison-lab.github.io/pds/random-variables.html#def-random-variable" TargetMode="External" /><Relationship Type="http://schemas.openxmlformats.org/officeDocument/2006/relationships/hyperlink" Id="rId15" Target="https://quarto.org/docs/authoring/markdown-basics.html#equations" TargetMode="External" /><Relationship Type="http://schemas.openxmlformats.org/officeDocument/2006/relationships/hyperlink" Id="rId73" Target="https://www.amazon.com/dp/1575866323" TargetMode="External" /><Relationship Type="http://schemas.openxmlformats.org/officeDocument/2006/relationships/hyperlink" Id="rId71" Target="sets-functions.qmd" TargetMode="External" /><Relationship Type="http://schemas.openxmlformats.org/officeDocument/2006/relationships/hyperlink" Id="rId54" Target="sets-functions.qmd#def-function" TargetMode="External" /><Relationship Type="http://schemas.openxmlformats.org/officeDocument/2006/relationships/hyperlink" Id="rId55" Target="sets-functions.qmd#def-image" TargetMode="External" /><Relationship Type="http://schemas.openxmlformats.org/officeDocument/2006/relationships/hyperlink" Id="rId56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2026-10-04T20:24:54Z</dcterms:created>
  <dcterms:modified xsi:type="dcterms:W3CDTF">2026-10-04T20:24:54Z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13:18:13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