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Notation</w:t>
      </w:r>
    </w:p>
    <w:p>
      <w:pPr>
        <w:pStyle w:val="Date"/>
      </w:pPr>
      <w:r>
        <w:t xml:space="preserve">Last modified: 2026-10-05 02:18:43 (PDT)</w:t>
      </w:r>
    </w:p>
    <w:p>
      <w:pPr>
        <w:pStyle w:val="FirstParagraph"/>
      </w:pPr>
      <w:r>
        <w:t xml:space="preserve">Mathematical notation is not standardized.</w:t>
      </w:r>
      <w:r>
        <w:t xml:space="preserve"> </w:t>
      </w:r>
      <w:r>
        <w:t xml:space="preserve">This section states the conventions these notes use,</w:t>
      </w:r>
      <w:r>
        <w:t xml:space="preserve"> </w:t>
      </w:r>
      <w:r>
        <w:t xml:space="preserve">and the alternatives you may meet in other sources.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tbl-notation-collect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used in this book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391"/>
              <w:gridCol w:w="5351"/>
              <w:gridCol w:w="1177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¬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not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\neg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∀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all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\forall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∃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\exists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∪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union,</w:t>
                  </w:r>
                  <w:r>
                    <w:t xml:space="preserve"> </w:t>
                  </w:r>
                  <w:r>
                    <w:t xml:space="preserve">“or”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∩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intersection,</w:t>
                  </w:r>
                  <w:r>
                    <w:t xml:space="preserve"> </w:t>
                  </w:r>
                  <w:r>
                    <w:t xml:space="preserve">“and”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\cap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∣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given, conditional 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\mid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|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9">
                    <w:r>
                      <w:rPr>
                        <w:rStyle w:val="Hyperlink"/>
                      </w:rPr>
                      <w:t xml:space="preserve">sum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\sum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product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\prod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\mu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E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0">
                    <w:r>
                      <w:rPr>
                        <w:rStyle w:val="Hyperlink"/>
                      </w:rPr>
                      <w:t xml:space="preserve">expectation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\mathbb{E}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x^{\top}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′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or derivative</w:t>
                  </w:r>
                  <w:r>
                    <w:rPr>
                      <w:rStyle w:val="FootnoteReference"/>
                    </w:rPr>
                    <w:footnoteReference w:id="11"/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'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2">
                    <w:r>
                      <w:rPr>
                        <w:rStyle w:val="Hyperlink"/>
                      </w:rPr>
                      <w:t xml:space="preserve">independent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\perp\!\!\!\perp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∴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therefore, thus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\therefore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3">
                    <w:r>
                      <w:rPr>
                        <w:rStyle w:val="Hyperlink"/>
                      </w:rPr>
                      <w:t xml:space="preserve">linear component of a GLM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\eta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⌊"/>
                        <m:sepChr m:val=""/>
                        <m:endChr m:val="⌋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floor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largest integer less than or equal to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\lfloor x \rfloor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⌈"/>
                        <m:sepChr m:val=""/>
                        <m:endChr m:val="⌉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ceiling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smallest integer greater than or equal to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\lceil x \rceil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1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P</m:t>
                        </m:r>
                      </m:e>
                    </m:d>
                    <m:r>
                      <m:t>​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indicator function (</w:t>
                  </w:r>
                  <w:hyperlink w:anchor="sec-indicator-functions">
                    <w:r>
                      <w:rPr>
                        <w:rStyle w:val="Hyperlink"/>
                      </w:rPr>
                      <w:t xml:space="preserve">Section 5</w:t>
                    </w:r>
                  </w:hyperlink>
                  <w:r>
                    <w:t xml:space="preserve">):</w:t>
                  </w:r>
                  <w:r>
                    <w:t xml:space="preserve"> </w:t>
                  </w:r>
                  <m:oMath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if condition holds,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otherwise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\indic{A}(x)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\indicp{P}</w:t>
                  </w:r>
                </w:p>
              </w:tc>
            </w:tr>
          </w:tbl>
          <w:bookmarkEnd w:id="14"/>
          <w:p/>
        </w:tc>
      </w:tr>
    </w:tbl>
    <w:bookmarkStart w:id="16" w:name="sec-writing-math-quarto"/>
    <w:p>
      <w:pPr>
        <w:pStyle w:val="Heading2"/>
      </w:pPr>
      <w:r>
        <w:t xml:space="preserve">1 Writing math in Quarto</w:t>
      </w:r>
    </w:p>
    <w:p>
      <w:pPr>
        <w:pStyle w:val="FirstParagraph"/>
      </w:pPr>
      <w:r>
        <w:t xml:space="preserve">The third column of</w:t>
      </w:r>
      <w:r>
        <w:t xml:space="preserve"> </w:t>
      </w:r>
      <w:hyperlink w:anchor="tbl-notation-collected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gives the LaTeX command for each symbol.</w:t>
      </w:r>
      <w:r>
        <w:t xml:space="preserve"> </w:t>
      </w:r>
      <w:r>
        <w:t xml:space="preserve">Quarto and R Markdown documents write math in LaTeX syntax:</w:t>
      </w:r>
      <w:r>
        <w:t xml:space="preserve"> </w:t>
      </w:r>
      <w:r>
        <w:t xml:space="preserve">put inline math between single dollar signs, as in</w:t>
      </w:r>
      <w:r>
        <w:t xml:space="preserve"> </w:t>
      </w:r>
      <w:r>
        <w:rPr>
          <w:rStyle w:val="VerbatimChar"/>
        </w:rPr>
        <w:t xml:space="preserve">$x^2$</w:t>
      </w:r>
      <w:r>
        <w:t xml:space="preserve">,</w:t>
      </w:r>
      <w:r>
        <w:t xml:space="preserve"> </w:t>
      </w:r>
      <w:r>
        <w:t xml:space="preserve">and displayed equations between double dollar signs, as in</w:t>
      </w:r>
      <w:r>
        <w:t xml:space="preserve"> </w:t>
      </w:r>
      <w:r>
        <w:rPr>
          <w:rStyle w:val="VerbatimChar"/>
        </w:rPr>
        <w:t xml:space="preserve">$$x^2$$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equations section of Quarto’s Markdown guide</w:t>
        </w:r>
      </w:hyperlink>
      <w:r>
        <w:t xml:space="preserve"> </w:t>
      </w:r>
      <w:r>
        <w:t xml:space="preserve">shows the details.</w:t>
      </w:r>
      <w:r>
        <w:t xml:space="preserve"> </w:t>
      </w:r>
      <w:r>
        <w:t xml:space="preserve">These notes also use shorthand macros,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\floor{x}</w:t>
      </w:r>
      <w:r>
        <w:t xml:space="preserve"> </w:t>
      </w:r>
      <w:r>
        <w:t xml:space="preserve">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defined in the</w:t>
      </w:r>
      <w:r>
        <w:t xml:space="preserve"> </w:t>
      </w:r>
      <w:r>
        <w:rPr>
          <w:rStyle w:val="VerbatimChar"/>
        </w:rPr>
        <w:t xml:space="preserve">latex-macros</w:t>
      </w:r>
      <w:r>
        <w:t xml:space="preserve"> </w:t>
      </w:r>
      <w:r>
        <w:t xml:space="preserve">submodule’s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</w:t>
      </w:r>
    </w:p>
    <w:bookmarkEnd w:id="16"/>
    <w:bookmarkStart w:id="26" w:name="sec-notation-naturals"/>
    <w:p>
      <w:pPr>
        <w:pStyle w:val="Heading2"/>
      </w:pPr>
      <w:r>
        <w:t xml:space="preserve">2 Natural numbers</w:t>
      </w:r>
    </w:p>
    <w:bookmarkStart w:id="17" w:name="exr-naturals-below-three"/>
    <w:p>
      <w:pPr>
        <w:pStyle w:val="FirstParagraph"/>
      </w:pPr>
      <w:r>
        <w:rPr>
          <w:b/>
          <w:bCs/>
        </w:rPr>
        <w:t xml:space="preserve">Exercise 1 (Which numbers are natural?)</w:t>
      </w:r>
      <w:r>
        <w:t xml:space="preserve"> </w:t>
      </w:r>
      <w:r>
        <w:t xml:space="preserve">List the elements of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N</m:t>
            </m:r>
            <m:r>
              <m:rPr>
                <m:sty m:val="p"/>
              </m:rPr>
              <m:t>:</m:t>
            </m:r>
            <m:r>
              <m:t>n</m:t>
            </m:r>
            <m:r>
              <m:rPr>
                <m:sty m:val="p"/>
              </m:rPr>
              <m:t>&lt;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Is your answer the same in every textbook?</w:t>
      </w:r>
    </w:p>
    <w:bookmarkEnd w:id="17"/>
    <w:bookmarkStart w:id="18" w:name="sol-naturals-below-thre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answer depends on whether the source counts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 a natural number: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starts at</w:t>
      </w:r>
      <w:r>
        <w:t xml:space="preserve"> </w:t>
      </w:r>
      <m:oMath>
        <m:r>
          <m:t>0</m:t>
        </m:r>
      </m:oMath>
      <w:r>
        <w:t xml:space="preserve">, the set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starts at</w:t>
      </w:r>
      <w:r>
        <w:t xml:space="preserve"> </w:t>
      </w:r>
      <m:oMath>
        <m:r>
          <m:t>1</m:t>
        </m:r>
      </m:oMath>
      <w:r>
        <w:t xml:space="preserve">, the set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Both conventions are in common use,</w:t>
      </w:r>
      <w:r>
        <w:t xml:space="preserve"> </w:t>
      </w:r>
      <w:r>
        <w:t xml:space="preserve">so the answer is not the same in every textbook.</w:t>
      </w:r>
    </w:p>
    <w:bookmarkEnd w:id="18"/>
    <w:bookmarkStart w:id="19" w:name="def-natural-numbers"/>
    <w:p>
      <w:pPr>
        <w:pStyle w:val="BodyText"/>
      </w:pPr>
      <w:r>
        <w:rPr>
          <w:b/>
          <w:bCs/>
        </w:rPr>
        <w:t xml:space="preserve">Definition 1 (Natural numbers (our convention))</w:t>
      </w:r>
      <w:r>
        <w:t xml:space="preserve"> </w:t>
      </w:r>
      <w:r>
        <w:t xml:space="preserve">In these notes, the</w:t>
      </w:r>
      <w:r>
        <w:t xml:space="preserve"> </w:t>
      </w:r>
      <w:r>
        <w:rPr>
          <w:b/>
          <w:bCs/>
        </w:rPr>
        <w:t xml:space="preserve">natural numbers</w:t>
      </w:r>
      <w:r>
        <w:t xml:space="preserve"> </w:t>
      </w:r>
      <w:r>
        <w:t xml:space="preserve">are the positive integers: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N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</m:oMath>
      </m:oMathPara>
    </w:p>
    <w:bookmarkEnd w:id="19"/>
    <w:bookmarkStart w:id="20" w:name="def-nonnegative-integers"/>
    <w:p>
      <w:pPr>
        <w:pStyle w:val="FirstParagraph"/>
      </w:pPr>
      <w:r>
        <w:rPr>
          <w:b/>
          <w:bCs/>
        </w:rPr>
        <w:t xml:space="preserve">Definition 2 (Non-negative integers)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non-negative integers</w:t>
      </w:r>
      <w:r>
        <w:t xml:space="preserve"> </w:t>
      </w:r>
      <w:r>
        <w:t xml:space="preserve">are the natural numbers (</w:t>
      </w:r>
      <w:hyperlink w:anchor="def-natural-numbers">
        <w:r>
          <w:rPr>
            <w:rStyle w:val="Hyperlink"/>
          </w:rPr>
          <w:t xml:space="preserve">Definition 1</w:t>
        </w:r>
      </w:hyperlink>
      <w:r>
        <w:t xml:space="preserve">) together with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N</m:t>
              </m:r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∪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</m:e>
          </m:d>
          <m:r>
            <m:t>​</m:t>
          </m:r>
        </m:oMath>
      </m:oMathPara>
    </w:p>
    <w:bookmarkEnd w:id="20"/>
    <w:bookmarkStart w:id="21" w:name="exm-natural-numbers"/>
    <w:p>
      <w:pPr>
        <w:pStyle w:val="FirstParagraph"/>
      </w:pPr>
      <w:r>
        <w:rPr>
          <w:b/>
          <w:bCs/>
        </w:rPr>
        <w:t xml:space="preserve">Example 1 (Natural numbers in a data analysis)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w:r>
        <w:t xml:space="preserve">Observation indices start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we write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A count outcome, such as the number of hospital visits in a year,</w:t>
      </w:r>
      <w:r>
        <w:t xml:space="preserve"> </w:t>
      </w:r>
      <w:r>
        <w:t xml:space="preserve">can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its support is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, not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.</w:t>
      </w:r>
    </w:p>
    <w:bookmarkEnd w:id="2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Other conventions for the natural numbers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Other sources may define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differently,</w:t>
            </w:r>
            <w:r>
              <w:t xml:space="preserve"> </w:t>
            </w:r>
            <w:r>
              <w:t xml:space="preserve">so check each source’s definition before reading its formulas: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Many sources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international standard ISO 80000-2 defines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to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continuing the earlier standard ISO 31-11 (1978).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Other sources start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as these notes do.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To remove the ambiguity,</w:t>
            </w:r>
            <w:r>
              <w:t xml:space="preserve"> </w:t>
            </w:r>
            <w:r>
              <w:t xml:space="preserve">some sources write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Z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Z</m:t>
                  </m:r>
                </m:e>
                <m:sup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The words vary too.</w:t>
            </w:r>
            <w:r>
              <w:t xml:space="preserve"> </w:t>
            </w:r>
            <w:r>
              <w:t xml:space="preserve">“Positive integers”</w:t>
            </w:r>
            <w:r>
              <w:t xml:space="preserve"> </w:t>
            </w:r>
            <w:r>
              <w:t xml:space="preserve">(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“non-negative integers”</w:t>
            </w:r>
            <w:r>
              <w:t xml:space="preserve"> </w:t>
            </w:r>
            <w:r>
              <w:t xml:space="preserve">(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are unambiguous.</w:t>
            </w:r>
            <w:r>
              <w:t xml:space="preserve"> </w:t>
            </w:r>
            <w:r>
              <w:t xml:space="preserve">“Whole numbers”</w:t>
            </w:r>
            <w:r>
              <w:t xml:space="preserve"> </w:t>
            </w:r>
            <w:r>
              <w:t xml:space="preserve">usually includes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can also mean all of the integers, negative ones included.</w:t>
            </w:r>
            <w:r>
              <w:t xml:space="preserve"> </w:t>
            </w:r>
            <w:r>
              <w:t xml:space="preserve">“Counting numbers”</w:t>
            </w:r>
            <w:r>
              <w:t xml:space="preserve"> </w:t>
            </w:r>
            <w:r>
              <w:t xml:space="preserve">usually starts 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some sources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Some older texts write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for the natural numbers.</w:t>
            </w:r>
          </w:p>
          <w:p>
            <w:pPr>
              <w:pStyle w:val="FirstParagraph"/>
            </w:pPr>
            <w:r>
              <w:t xml:space="preserve">When a formula’s meaning depends on whether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is included,</w:t>
            </w:r>
            <w:r>
              <w:t xml:space="preserve"> </w:t>
            </w:r>
            <w:r>
              <w:t xml:space="preserve">we write the set out explicitly,</w:t>
            </w:r>
            <w:r>
              <w:t xml:space="preserve"> </w:t>
            </w:r>
            <w:r>
              <w:t xml:space="preserve">for example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Source:</w:t>
            </w:r>
            <w:r>
              <w:t xml:space="preserve"> </w:t>
            </w:r>
            <w:hyperlink r:id="rId25">
              <w:r>
                <w:rPr>
                  <w:rStyle w:val="Hyperlink"/>
                </w:rPr>
                <w:t xml:space="preserve">Wikipedia,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“Natural number”</w:t>
              </w:r>
              <w:r>
                <w:rPr>
                  <w:rStyle w:val="Hyperlink"/>
                </w:rPr>
                <w:t xml:space="preserve">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“Terminology and notation”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and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“Zero as natural number”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which cites ISO 80000-2:2019 and the textbooks using each notation.</w:t>
            </w:r>
          </w:p>
          <w:p/>
        </w:tc>
      </w:tr>
    </w:tbl>
    <w:bookmarkEnd w:id="26"/>
    <w:bookmarkStart w:id="28" w:name="percent-sign"/>
    <w:p>
      <w:pPr>
        <w:pStyle w:val="Heading2"/>
      </w:pPr>
      <w:r>
        <w:t xml:space="preserve">3 Percent sign (</w:t>
      </w:r>
      <w:r>
        <w:t xml:space="preserve">“%”</w:t>
      </w:r>
      <w:r>
        <w:t xml:space="preserve">)</w:t>
      </w:r>
    </w:p>
    <w:p>
      <w:pPr>
        <w:pStyle w:val="FirstParagraph"/>
      </w:pPr>
      <w:r>
        <w:t xml:space="preserve">The percent sign</w:t>
      </w:r>
      <w:r>
        <w:t xml:space="preserve"> </w:t>
      </w:r>
      <w:r>
        <w:t xml:space="preserve">“%”</w:t>
      </w:r>
      <w:r>
        <w:t xml:space="preserve"> </w:t>
      </w:r>
      <w:r>
        <w:t xml:space="preserve">is just a shorthand for</w:t>
      </w:r>
      <w:r>
        <w:t xml:space="preserve"> </w:t>
      </w:r>
      <w:r>
        <w:t xml:space="preserve">“</w:t>
      </w:r>
      <m:oMath>
        <m:r>
          <m:rPr>
            <m:sty m:val="p"/>
          </m:rPr>
          <m:t>/</m:t>
        </m:r>
        <m:r>
          <m:t>100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The word</w:t>
      </w:r>
      <w:r>
        <w:t xml:space="preserve"> </w:t>
      </w:r>
      <w:r>
        <w:t xml:space="preserve">“percent”</w:t>
      </w:r>
      <w:r>
        <w:t xml:space="preserve"> </w:t>
      </w:r>
      <w:r>
        <w:t xml:space="preserve">comes from the Latin</w:t>
      </w:r>
      <w:r>
        <w:t xml:space="preserve"> </w:t>
      </w:r>
      <w:r>
        <w:t xml:space="preserve">“per centum”</w:t>
      </w:r>
      <w:r>
        <w:t xml:space="preserve">;</w:t>
      </w:r>
      <w:r>
        <w:t xml:space="preserve"> </w:t>
      </w:r>
      <w:r>
        <w:t xml:space="preserve">“centum”</w:t>
      </w:r>
      <w:r>
        <w:t xml:space="preserve"> </w:t>
      </w:r>
      <w:r>
        <w:t xml:space="preserve">is Latin for 100,</w:t>
      </w:r>
      <w:r>
        <w:t xml:space="preserve"> </w:t>
      </w:r>
      <w:r>
        <w:t xml:space="preserve">so</w:t>
      </w:r>
      <w:r>
        <w:t xml:space="preserve"> </w:t>
      </w:r>
      <w:r>
        <w:t xml:space="preserve">“percent”</w:t>
      </w:r>
      <w:r>
        <w:t xml:space="preserve"> </w:t>
      </w:r>
      <w:r>
        <w:t xml:space="preserve">means</w:t>
      </w:r>
      <w:r>
        <w:t xml:space="preserve"> </w:t>
      </w:r>
      <w:r>
        <w:t xml:space="preserve">“per hundred”</w:t>
      </w:r>
      <w:r>
        <w:t xml:space="preserve"> </w:t>
      </w:r>
      <w:r>
        <w:t xml:space="preserve">(cf. </w:t>
      </w:r>
      <w:hyperlink r:id="rId27">
        <w:r>
          <w:rPr>
            <w:rStyle w:val="Hyperlink"/>
          </w:rPr>
          <w:t xml:space="preserve">https://en.wikipedia.org/wiki/Percentage</w:t>
        </w:r>
      </w:hyperlink>
      <w:r>
        <w:t xml:space="preserve">)</w:t>
      </w:r>
    </w:p>
    <w:p>
      <w:pPr>
        <w:pStyle w:val="BodyText"/>
      </w:pPr>
      <w:r>
        <w:t xml:space="preserve">So, contrary to what you may have learned previously,</w:t>
      </w:r>
      <w:r>
        <w:t xml:space="preserve"> </w:t>
      </w:r>
      <m:oMath>
        <m:r>
          <m:t>10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is a true and correct equality,</w:t>
      </w:r>
      <w:r>
        <w:t xml:space="preserve"> </w:t>
      </w:r>
      <w:r>
        <w:t xml:space="preserve">just as</w:t>
      </w:r>
      <w:r>
        <w:t xml:space="preserve"> </w:t>
      </w:r>
      <m:oMath>
        <m:r>
          <m:t>10</m:t>
        </m:r>
        <m:r>
          <m:rPr>
            <m:nor/>
            <m:sty m:val="p"/>
          </m:rPr>
          <m:t>kg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nor/>
            <m:sty m:val="p"/>
          </m:rPr>
          <m:t>g</m:t>
        </m:r>
      </m:oMath>
      <w:r>
        <w:t xml:space="preserve"> </w:t>
      </w:r>
      <w:r>
        <w:t xml:space="preserve">is true and correct.</w:t>
      </w:r>
    </w:p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10</m:t>
              </m:r>
              <m:r>
                <m:rPr>
                  <m:sty m:val="p"/>
                </m:rPr>
                <m:t>%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/</m:t>
              </m:r>
              <m:r>
                <m:t>100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100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</m:e>
          </m:eqArr>
        </m:oMath>
      </m:oMathPara>
    </w:p>
    <w:p>
      <w:pPr>
        <w:pStyle w:val="FirstParagraph"/>
      </w:pPr>
      <w:r>
        <w:t xml:space="preserve">You are welcome to switch between decimal and percent notation freely;</w:t>
      </w:r>
      <w:r>
        <w:t xml:space="preserve"> </w:t>
      </w:r>
      <w:r>
        <w:t xml:space="preserve">just make sure you execute it correctly.</w:t>
      </w:r>
    </w:p>
    <w:bookmarkEnd w:id="28"/>
    <w:bookmarkStart w:id="29" w:name="proofs"/>
    <w:p>
      <w:pPr>
        <w:pStyle w:val="Heading2"/>
      </w:pPr>
      <w:r>
        <w:t xml:space="preserve">4 Proofs</w:t>
      </w:r>
    </w:p>
    <w:p>
      <w:pPr>
        <w:pStyle w:val="FirstParagraph"/>
      </w:pPr>
      <w:r>
        <w:t xml:space="preserve">We can use any of: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∴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\therefore</w:t>
      </w:r>
      <w:r>
        <w:t xml:space="preserve"> </w:t>
      </w:r>
      <w:r>
        <w:t xml:space="preserve">in LaTeX),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),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⊨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\models</w:t>
      </w:r>
      <w:r>
        <w:t xml:space="preserve">)</w:t>
      </w:r>
    </w:p>
    <w:p>
      <w:pPr>
        <w:pStyle w:val="FirstParagraph"/>
      </w:pPr>
      <w:r>
        <w:t xml:space="preserve">to denote logical entailments (deductive consequences).</w:t>
      </w:r>
    </w:p>
    <w:p>
      <w:pPr>
        <w:pStyle w:val="BodyText"/>
      </w:pPr>
      <w:r>
        <w:t xml:space="preserve">Let’s save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 for convergence results.</w:t>
      </w:r>
    </w:p>
    <w:bookmarkEnd w:id="29"/>
    <w:bookmarkStart w:id="49" w:name="sec-indicator-functions"/>
    <w:p>
      <w:pPr>
        <w:pStyle w:val="Heading2"/>
      </w:pPr>
      <w:r>
        <w:t xml:space="preserve">5 Indicator functions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indicator function</w:t>
      </w:r>
      <w:r>
        <w:t xml:space="preserve"> </w:t>
      </w:r>
      <w:r>
        <w:t xml:space="preserve">is a mathematical function that signals</w:t>
      </w:r>
      <w:r>
        <w:t xml:space="preserve"> </w:t>
      </w:r>
      <w:r>
        <w:t xml:space="preserve">whether an element belongs to a specified set,</w:t>
      </w:r>
      <w:r>
        <w:t xml:space="preserve"> </w:t>
      </w:r>
      <w:r>
        <w:t xml:space="preserve">or whether a given logical condition is satisfied.</w:t>
      </w:r>
      <w:r>
        <w:t xml:space="preserve"> </w:t>
      </w:r>
      <w:r>
        <w:t xml:space="preserve">In statistics and epidemiology,</w:t>
      </w:r>
      <w:r>
        <w:t xml:space="preserve"> </w:t>
      </w:r>
      <w:r>
        <w:t xml:space="preserve">indicator functions are ubiquitous:</w:t>
      </w:r>
      <w:r>
        <w:t xml:space="preserve"> </w:t>
      </w:r>
      <w:r>
        <w:t xml:space="preserve">they represent binary variables,</w:t>
      </w:r>
      <w:r>
        <w:t xml:space="preserve"> </w:t>
      </w:r>
      <w:r>
        <w:t xml:space="preserve">censor and event indicators in survival analysis,</w:t>
      </w:r>
      <w:r>
        <w:t xml:space="preserve"> </w:t>
      </w:r>
      <w:r>
        <w:t xml:space="preserve">membership in subpopulations,</w:t>
      </w:r>
      <w:r>
        <w:t xml:space="preserve"> </w:t>
      </w:r>
      <w:r>
        <w:t xml:space="preserve">and domain restrictions in integrals and sums.</w:t>
      </w:r>
    </w:p>
    <w:p>
      <w:pPr>
        <w:pStyle w:val="BodyText"/>
      </w:pPr>
      <w:r>
        <w:t xml:space="preserve">Despite their conceptual simplicity,</w:t>
      </w:r>
      <w:r>
        <w:t xml:space="preserve"> </w:t>
      </w:r>
      <w:r>
        <w:t xml:space="preserve">notation for indicator functions varies substantially across textbooks,</w:t>
      </w:r>
      <w:r>
        <w:t xml:space="preserve"> </w:t>
      </w:r>
      <w:r>
        <w:t xml:space="preserve">research papers,</w:t>
      </w:r>
      <w:r>
        <w:t xml:space="preserve"> </w:t>
      </w:r>
      <w:r>
        <w:t xml:space="preserve">and subfields.</w:t>
      </w:r>
      <w:r>
        <w:t xml:space="preserve"> </w:t>
      </w:r>
      <w:r>
        <w:t xml:space="preserve">This section summarizes the principal notational conventions.</w:t>
      </w:r>
    </w:p>
    <w:bookmarkStart w:id="30" w:name="def-indicator-function"/>
    <w:p>
      <w:pPr>
        <w:pStyle w:val="BodyText"/>
      </w:pPr>
      <w:r>
        <w:rPr>
          <w:b/>
          <w:bCs/>
        </w:rPr>
        <w:t xml:space="preserve">Definition 3 (Indicator function)</w:t>
      </w:r>
      <w:r>
        <w:t xml:space="preserve"> </w:t>
      </w:r>
      <w:r>
        <w:t xml:space="preserve">For any subset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ty m:val="p"/>
          </m:rPr>
          <m:t>Ω</m:t>
        </m:r>
      </m:oMath>
      <w:r>
        <w:t xml:space="preserve"> </w:t>
      </w:r>
      <w:r>
        <w:t xml:space="preserve">of a universal set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indicator function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:</m:t>
        </m:r>
        <m:r>
          <m:rPr>
            <m:sty m:val="p"/>
          </m:rPr>
          <m:t>Ω</m:t>
        </m:r>
        <m:r>
          <m:rPr>
            <m:sty m:val="p"/>
          </m:rPr>
          <m:t>→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defined by: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∉</m:t>
                    </m:r>
                    <m:r>
                      <m:t>A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More generally,</w:t>
      </w:r>
      <w:r>
        <w:t xml:space="preserve"> </w:t>
      </w:r>
      <w:r>
        <w:t xml:space="preserve">for any logical proposition or predicate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indicator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1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true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false</m:t>
                    </m:r>
                  </m:e>
                </m:mr>
              </m:m>
            </m:e>
          </m:d>
        </m:oMath>
      </m:oMathPara>
    </w:p>
    <w:bookmarkEnd w:id="30"/>
    <w:bookmarkStart w:id="32" w:name="exm-indicator-numerical"/>
    <w:p>
      <w:pPr>
        <w:pStyle w:val="FirstParagraph"/>
      </w:pPr>
      <w:r>
        <w:rPr>
          <w:b/>
          <w:bCs/>
        </w:rPr>
        <w:t xml:space="preserve">Example 2 (Evaluating set and predicate indicators)</w:t>
      </w:r>
      <w:r>
        <w:t xml:space="preserve"> </w:t>
      </w:r>
      <w:r>
        <w:t xml:space="preserve">Consider the real line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set of nonnegative numbers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continuous</w:t>
      </w:r>
      <w:r>
        <w:t xml:space="preserve"> </w:t>
      </w:r>
      <w:hyperlink r:id="rId31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Set indicator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Compact"/>
        <w:numPr>
          <w:ilvl w:val="1"/>
          <w:numId w:val="1006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3.5</m:t>
        </m:r>
      </m:oMath>
      <w:r>
        <w:t xml:space="preserve">: since</w:t>
      </w:r>
      <w:r>
        <w:t xml:space="preserve"> </w:t>
      </w:r>
      <m:oMath>
        <m:r>
          <m:t>3.5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3.5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1"/>
          <w:numId w:val="1006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2.1</m:t>
        </m:r>
      </m:oMath>
      <w:r>
        <w:t xml:space="preserve">: since</w:t>
      </w:r>
      <w:r>
        <w:t xml:space="preserve"> </w:t>
      </w:r>
      <m:oMath>
        <m:r>
          <m:rPr>
            <m:sty m:val="p"/>
          </m:rPr>
          <m:t>−</m:t>
        </m:r>
        <m:r>
          <m:t>2.1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−</m:t>
        </m:r>
        <m:r>
          <m:t>2.1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Predicate indicator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1"/>
          <w:numId w:val="1007"/>
        </w:numPr>
      </w:pPr>
      <w:r>
        <w:t xml:space="preserve">If an observation yields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7.2</m:t>
        </m:r>
      </m:oMath>
      <w:r>
        <w:t xml:space="preserve">,</w:t>
      </w:r>
      <w:r>
        <w:t xml:space="preserve"> </w:t>
      </w:r>
      <w:r>
        <w:t xml:space="preserve">the predicate</w:t>
      </w:r>
      <w:r>
        <w:t xml:space="preserve"> </w:t>
      </w:r>
      <m:oMath>
        <m:r>
          <m:t>7.2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7.2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1"/>
          <w:numId w:val="1007"/>
        </w:numPr>
      </w:pPr>
      <w:r>
        <w:t xml:space="preserve">If an observation yields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4.1</m:t>
        </m:r>
      </m:oMath>
      <w:r>
        <w:t xml:space="preserve">,</w:t>
      </w:r>
      <w:r>
        <w:t xml:space="preserve"> </w:t>
      </w:r>
      <w:r>
        <w:t xml:space="preserve">the predicate</w:t>
      </w:r>
      <w:r>
        <w:t xml:space="preserve"> </w:t>
      </w:r>
      <m:oMath>
        <m:r>
          <m:t>4.1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4.1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32"/>
    <w:bookmarkStart w:id="36" w:name="X156504d913efc1f49ad7c2e43ace68824d2fb5d"/>
    <w:p>
      <w:pPr>
        <w:pStyle w:val="Heading3"/>
      </w:pPr>
      <w:r>
        <w:t xml:space="preserve">5.1 Two primary notational paradigms: set vs. predicate notation</w:t>
      </w:r>
    </w:p>
    <w:p>
      <w:pPr>
        <w:pStyle w:val="FirstParagraph"/>
      </w:pPr>
      <w:r>
        <w:t xml:space="preserve">The vast majority of indicator notations belong to one of two families:</w:t>
      </w:r>
      <w:r>
        <w:t xml:space="preserve"> </w:t>
      </w:r>
      <w:r>
        <w:rPr>
          <w:b/>
          <w:bCs/>
        </w:rPr>
        <w:t xml:space="preserve">set notation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predicate notation</w:t>
      </w:r>
      <w:r>
        <w:t xml:space="preserve">.</w:t>
      </w:r>
    </w:p>
    <w:bookmarkStart w:id="33" w:name="set-notation"/>
    <w:p>
      <w:pPr>
        <w:pStyle w:val="Heading4"/>
      </w:pPr>
      <w:r>
        <w:t xml:space="preserve">Set notation</w:t>
      </w:r>
    </w:p>
    <w:p>
      <w:pPr>
        <w:pStyle w:val="FirstParagraph"/>
      </w:pPr>
      <w:r>
        <w:t xml:space="preserve">In</w:t>
      </w:r>
      <w:r>
        <w:t xml:space="preserve"> </w:t>
      </w:r>
      <w:r>
        <w:rPr>
          <w:b/>
          <w:bCs/>
        </w:rPr>
        <w:t xml:space="preserve">set notation</w:t>
      </w:r>
      <w:r>
        <w:t xml:space="preserve">,</w:t>
      </w:r>
      <w:r>
        <w:t xml:space="preserve"> </w:t>
      </w:r>
      <w:r>
        <w:t xml:space="preserve">the indicator is tied to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which appears as a subscript: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rPr>
                <m:sty m:val="b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(bold numeral one)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(blackboard bold numeral one)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(capital letter</w:t>
      </w:r>
      <w:r>
        <w:t xml:space="preserve"> </w:t>
      </w:r>
      <m:oMath>
        <m:r>
          <m:t>I</m:t>
        </m:r>
      </m:oMath>
      <w:r>
        <w:t xml:space="preserve">)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rPr>
                <m:scr m:val="double-struck"/>
                <m:sty m:val="p"/>
              </m:rP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(blackboard bold letter</w:t>
      </w:r>
      <w:r>
        <w:t xml:space="preserve"> </w:t>
      </w:r>
      <m:oMath>
        <m:r>
          <m:t>I</m:t>
        </m:r>
      </m:oMath>
      <w:r>
        <w:t xml:space="preserve">)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χ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(Greek letter chi, historically termed the</w:t>
      </w:r>
      <w:r>
        <w:t xml:space="preserve"> </w:t>
      </w:r>
      <w:r>
        <w:rPr>
          <w:i/>
          <w:iCs/>
        </w:rPr>
        <w:t xml:space="preserve">characteristic function</w:t>
      </w:r>
      <w:r>
        <w:t xml:space="preserve">)</w:t>
      </w:r>
    </w:p>
    <w:p>
      <w:pPr>
        <w:pStyle w:val="FirstParagraph"/>
      </w:pPr>
      <w:r>
        <w:t xml:space="preserve">When the function is viewed as a mathematical object in its own right</w:t>
      </w:r>
      <w:r>
        <w:t xml:space="preserve"> </w:t>
      </w:r>
      <w:r>
        <w:t xml:space="preserve">(for instance, as an element of an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function space),</w:t>
      </w:r>
      <w:r>
        <w:t xml:space="preserve"> </w:t>
      </w:r>
      <w:r>
        <w:t xml:space="preserve">authors often omit the argument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 simply</w:t>
      </w:r>
      <w:r>
        <w:t xml:space="preserve"> </w:t>
      </w:r>
      <m:oMath>
        <m:sSub>
          <m:e>
            <m:r>
              <m:rPr>
                <m:sty m:val="b"/>
              </m:rPr>
              <m:t>1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, or</w:t>
      </w:r>
      <w:r>
        <w:t xml:space="preserve"> </w:t>
      </w:r>
      <m:oMath>
        <m:sSub>
          <m:e>
            <m:r>
              <m:t>I</m:t>
            </m:r>
          </m:e>
          <m:sub>
            <m:r>
              <m:t>A</m:t>
            </m:r>
          </m:sub>
        </m:sSub>
      </m:oMath>
      <w:r>
        <w:t xml:space="preserve">.</w:t>
      </w:r>
    </w:p>
    <w:bookmarkEnd w:id="33"/>
    <w:bookmarkStart w:id="34" w:name="predicate-notation"/>
    <w:p>
      <w:pPr>
        <w:pStyle w:val="Heading4"/>
      </w:pPr>
      <w:r>
        <w:t xml:space="preserve">Predicate notation</w:t>
      </w:r>
    </w:p>
    <w:p>
      <w:pPr>
        <w:pStyle w:val="FirstParagraph"/>
      </w:pPr>
      <w:r>
        <w:t xml:space="preserve">In</w:t>
      </w:r>
      <w:r>
        <w:t xml:space="preserve"> </w:t>
      </w:r>
      <w:r>
        <w:rPr>
          <w:b/>
          <w:bCs/>
        </w:rPr>
        <w:t xml:space="preserve">predicate notation</w:t>
      </w:r>
      <w:r>
        <w:t xml:space="preserve">,</w:t>
      </w:r>
      <w:r>
        <w:t xml:space="preserve"> </w:t>
      </w:r>
      <w:r>
        <w:t xml:space="preserve">the indicator takes a logical condition,</w:t>
      </w:r>
      <w:r>
        <w:t xml:space="preserve"> </w:t>
      </w:r>
      <w:r>
        <w:t xml:space="preserve">relation,</w:t>
      </w:r>
      <w:r>
        <w:t xml:space="preserve"> </w:t>
      </w:r>
      <w:r>
        <w:t xml:space="preserve">or proposition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directly as its argument or subscript:</w:t>
      </w:r>
    </w:p>
    <w:p>
      <w:pPr>
        <w:pStyle w:val="Compact"/>
        <w:numPr>
          <w:ilvl w:val="0"/>
          <w:numId w:val="1009"/>
        </w:numPr>
      </w:pPr>
      <m:oMath>
        <m:r>
          <m:rPr>
            <m:scr m:val="double-struck"/>
            <m:sty m:val="p"/>
          </m:rP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I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9"/>
        </w:numPr>
      </w:pPr>
      <m:oMath>
        <m:r>
          <m:rPr>
            <m:sty m:val="b"/>
          </m:rPr>
          <m:t>1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b"/>
          </m:rPr>
          <m:t>1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9"/>
        </w:numPr>
      </w:pPr>
      <m:oMath>
        <m:r>
          <m:rPr>
            <m:scr m:val="double-struck"/>
            <m:sty m:val="p"/>
          </m:rPr>
          <m:t>1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9"/>
        </w:numPr>
      </w:pPr>
      <m:oMath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P</m:t>
        </m:r>
        <m:r>
          <m:rPr>
            <m:sty m:val="p"/>
          </m:rPr>
          <m:t>}</m:t>
        </m:r>
      </m:oMath>
    </w:p>
    <w:p>
      <w:pPr>
        <w:pStyle w:val="Compact"/>
        <w:numPr>
          <w:ilvl w:val="0"/>
          <w:numId w:val="1009"/>
        </w:numPr>
      </w:pPr>
      <m:oMath>
        <m: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Predicate notation is especially common in applied statistics and survival analysis,</w:t>
      </w:r>
      <w:r>
        <w:t xml:space="preserve"> </w:t>
      </w:r>
      <w:r>
        <w:t xml:space="preserve">where indicators frequently depend on inequalities involving random variables,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T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(an event occurring before time</w:t>
      </w:r>
      <w:r>
        <w:t xml:space="preserve"> </w:t>
      </w:r>
      <m:oMath>
        <m:r>
          <m:t>t</m:t>
        </m:r>
      </m:oMath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(a binary outcome).</w:t>
      </w:r>
    </w:p>
    <w:bookmarkEnd w:id="34"/>
    <w:bookmarkStart w:id="35" w:name="equivalence-between-paradigms"/>
    <w:p>
      <w:pPr>
        <w:pStyle w:val="Heading4"/>
      </w:pPr>
      <w:r>
        <w:t xml:space="preserve">Equivalence between paradigms</w:t>
      </w:r>
    </w:p>
    <w:p>
      <w:pPr>
        <w:pStyle w:val="FirstParagraph"/>
      </w:pPr>
      <w:r>
        <w:t xml:space="preserve">The two paradigms are connected by evaluating the predicate indicator</w:t>
      </w:r>
      <w:r>
        <w:t xml:space="preserve"> </w:t>
      </w:r>
      <w:r>
        <w:t xml:space="preserve">at the membership statement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I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Set notation is more natural when the underlying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 standard name</w:t>
      </w:r>
      <w:r>
        <w:t xml:space="preserve"> </w:t>
      </w:r>
      <w:r>
        <w:t xml:space="preserve">(such as the support of a distribution or a geometric region).</w:t>
      </w:r>
      <w:r>
        <w:t xml:space="preserve"> </w:t>
      </w:r>
      <w:r>
        <w:t xml:space="preserve">Predicate notation is more natural when the condition involves compound inequalities,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≤</m:t>
            </m:r>
            <m:r>
              <m:t>t</m:t>
            </m:r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.</w:t>
      </w:r>
    </w:p>
    <w:bookmarkEnd w:id="35"/>
    <w:bookmarkEnd w:id="36"/>
    <w:bookmarkStart w:id="43" w:name="iverson-bracket-notation"/>
    <w:p>
      <w:pPr>
        <w:pStyle w:val="Heading3"/>
      </w:pPr>
      <w:r>
        <w:t xml:space="preserve">5.2 Iverson bracket notation</w:t>
      </w:r>
    </w:p>
    <w:p>
      <w:pPr>
        <w:pStyle w:val="FirstParagraph"/>
      </w:pPr>
      <w:r>
        <w:t xml:space="preserve">In 1962,</w:t>
      </w:r>
      <w:r>
        <w:t xml:space="preserve"> </w:t>
      </w:r>
      <w:r>
        <w:t xml:space="preserve">Kenneth Iverson introduced a compact notation in the programming language APL,</w:t>
      </w:r>
      <w:r>
        <w:t xml:space="preserve"> </w:t>
      </w:r>
      <w:r>
        <w:t xml:space="preserve">later popularized in mathematics and computer science by Donald Knuth:</w:t>
      </w:r>
      <w:r>
        <w:t xml:space="preserve"> </w:t>
      </w:r>
      <w:r>
        <w:t xml:space="preserve">the</w:t>
      </w:r>
      <w:r>
        <w:t xml:space="preserve"> </w:t>
      </w:r>
      <w:hyperlink r:id="rId37">
        <w:r>
          <w:rPr>
            <w:rStyle w:val="Hyperlink"/>
          </w:rPr>
          <w:t xml:space="preserve">Iverson bracket</w:t>
        </w:r>
      </w:hyperlink>
      <w:r>
        <w:t xml:space="preserve">.</w:t>
      </w:r>
    </w:p>
    <w:bookmarkStart w:id="38" w:name="def-iverson-bracket"/>
    <w:p>
      <w:pPr>
        <w:pStyle w:val="BodyText"/>
      </w:pPr>
      <w:r>
        <w:rPr>
          <w:b/>
          <w:bCs/>
        </w:rPr>
        <w:t xml:space="preserve">Definition 4 (Iverson bracket)</w:t>
      </w:r>
      <w:r>
        <w:t xml:space="preserve"> </w:t>
      </w:r>
      <w:r>
        <w:t xml:space="preserve">For any logical proposition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Iverson bracket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P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true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false</m:t>
                    </m:r>
                  </m:e>
                </m:mr>
              </m:m>
            </m:e>
          </m:d>
        </m:oMath>
      </m:oMathPara>
    </w:p>
    <w:bookmarkEnd w:id="38"/>
    <w:bookmarkStart w:id="39" w:name="exm-iverson-bracket"/>
    <w:p>
      <w:pPr>
        <w:pStyle w:val="FirstParagraph"/>
      </w:pPr>
      <w:r>
        <w:rPr>
          <w:b/>
          <w:bCs/>
        </w:rPr>
        <w:t xml:space="preserve">Example 3 (Evaluating Iverson brackets)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[</m:t>
        </m:r>
        <m:r>
          <m:t>3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&gt;</m:t>
        </m:r>
        <m:r>
          <m:t>3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2</m:t>
        </m:r>
        <m:r>
          <m:rPr>
            <m:sty m:val="p"/>
          </m:rPr>
          <m:t>&gt;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[</m:t>
        </m:r>
        <m:r>
          <m:t>4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not an element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bookmarkEnd w:id="39"/>
    <w:bookmarkStart w:id="40" w:name="rem-iverson-indicator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Iverson bracket is the predicate indicator). </w:t>
      </w:r>
      <w:r>
        <w:t xml:space="preserve">The Iverson bracket</w:t>
      </w:r>
      <w:r>
        <w:t xml:space="preserve"> </w:t>
      </w:r>
      <m:oMath>
        <m:r>
          <m:rPr>
            <m:sty m:val="p"/>
          </m:rPr>
          <m:t>[</m:t>
        </m:r>
        <m:r>
          <m:t>P</m:t>
        </m:r>
        <m:r>
          <m:rPr>
            <m:sty m:val="p"/>
          </m:rPr>
          <m:t>]</m:t>
        </m:r>
      </m:oMath>
      <w:r>
        <w:t xml:space="preserve"> </w:t>
      </w:r>
      <w:r>
        <w:t xml:space="preserve">is the predicate indicator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indicator-function">
        <w:r>
          <w:rPr>
            <w:rStyle w:val="Hyperlink"/>
          </w:rPr>
          <w:t xml:space="preserve">Definition 3</w:t>
        </w:r>
      </w:hyperlink>
      <w:r>
        <w:t xml:space="preserve">) in different notation.</w:t>
      </w:r>
      <w:r>
        <w:t xml:space="preserve"> </w:t>
      </w:r>
      <w:r>
        <w:t xml:space="preserve">Under this notation,</w:t>
      </w:r>
      <w:r>
        <w:t xml:space="preserve"> </w:t>
      </w:r>
      <w:r>
        <w:t xml:space="preserve">set membership is written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 the values in</w:t>
      </w:r>
      <w:r>
        <w:t xml:space="preserve"> </w:t>
      </w:r>
      <w:hyperlink w:anchor="exm-indicator-numerical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become</w:t>
      </w:r>
      <w:r>
        <w:t xml:space="preserve"> </w:t>
      </w:r>
      <m:oMath>
        <m:r>
          <m:rPr>
            <m:sty m:val="p"/>
          </m:rPr>
          <m:t>[</m:t>
        </m:r>
        <m:r>
          <m:t>7.2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7.2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2.1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−</m:t>
        </m:r>
        <m:r>
          <m:t>2.1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0"/>
    <w:bookmarkStart w:id="41" w:name="def-kronecker-delta"/>
    <w:p>
      <w:pPr>
        <w:pStyle w:val="BodyText"/>
      </w:pPr>
      <w:r>
        <w:rPr>
          <w:b/>
          <w:bCs/>
        </w:rPr>
        <w:t xml:space="preserve">Definition 5 (Kronecker delta)</w:t>
      </w:r>
      <w:r>
        <w:t xml:space="preserve"> </w:t>
      </w:r>
      <w:r>
        <w:t xml:space="preserve">For integers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Kronecker delta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δ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[</m:t>
          </m:r>
          <m:r>
            <m:t>i</m:t>
          </m:r>
          <m:r>
            <m:rPr>
              <m:sty m:val="p"/>
            </m:rPr>
            <m:t>=</m:t>
          </m:r>
          <m:r>
            <m:t>j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that is,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(</w:t>
      </w:r>
      <w:hyperlink w:anchor="def-iverson-bracket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41"/>
    <w:bookmarkStart w:id="42" w:name="exm-kronecker-delta"/>
    <w:p>
      <w:pPr>
        <w:pStyle w:val="BodyText"/>
      </w:pPr>
      <w:r>
        <w:rPr>
          <w:b/>
          <w:bCs/>
        </w:rPr>
        <w:t xml:space="preserve">Example 4 (Evaluating the Kronecker delta)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sSub>
          <m:e>
            <m:r>
              <m:t>δ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m:oMath>
        <m:sSub>
          <m:e>
            <m:r>
              <m:t>δ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m:oMath>
        <m:sSub>
          <m:e>
            <m:r>
              <m:t>δ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m:oMath>
        <m:sSub>
          <m:e>
            <m:r>
              <m:t>δ</m:t>
            </m:r>
          </m:e>
          <m:sub>
            <m:r>
              <m:t>23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2"/>
    <w:bookmarkEnd w:id="43"/>
    <w:bookmarkStart w:id="44" w:name="Xd6f58182005cccf55080a628cd9152d2b1165ed"/>
    <w:p>
      <w:pPr>
        <w:pStyle w:val="Heading3"/>
      </w:pPr>
      <w:r>
        <w:t xml:space="preserve">5.3 Strengths and limitations of the Iverson bracket</w:t>
      </w:r>
    </w:p>
    <w:p>
      <w:pPr>
        <w:pStyle w:val="FirstParagraph"/>
      </w:pPr>
      <w:r>
        <w:t xml:space="preserve">The primary advantage of the Iverson bracket is algebraic conciseness:</w:t>
      </w:r>
      <w:r>
        <w:t xml:space="preserve"> </w:t>
      </w:r>
      <w:r>
        <w:t xml:space="preserve">it turns a sum or integral over a subset</w:t>
      </w:r>
      <w:r>
        <w:t xml:space="preserve"> </w:t>
      </w:r>
      <w:r>
        <w:t xml:space="preserve">into a sum or integral over a larger, fixed set.</w:t>
      </w:r>
      <w:r>
        <w:t xml:space="preserve"> </w:t>
      </w:r>
      <w:r>
        <w:t xml:space="preserve">For example,</w:t>
      </w:r>
      <w:r>
        <w:t xml:space="preserve"> </w:t>
      </w:r>
      <w:r>
        <w:t xml:space="preserve">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 finite set that contains</w:t>
      </w:r>
      <w:r>
        <w:t xml:space="preserve"> </w:t>
      </w:r>
      <m:oMath>
        <m:r>
          <m:t>A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U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[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, and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both sides equal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However,</w:t>
      </w:r>
      <w:r>
        <w:t xml:space="preserve"> </w:t>
      </w:r>
      <w:r>
        <w:t xml:space="preserve">in statistics and epidemiology,</w:t>
      </w:r>
      <w:r>
        <w:t xml:space="preserve"> </w:t>
      </w:r>
      <w:r>
        <w:t xml:space="preserve">square brackets are already heavily overloaded:</w:t>
      </w:r>
      <w:r>
        <w:t xml:space="preserve"> </w:t>
      </w:r>
      <w:r>
        <w:t xml:space="preserve">they denote closed intervals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conditional expectations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matrix delimiters.</w:t>
      </w:r>
      <w:r>
        <w:t xml:space="preserve"> </w:t>
      </w:r>
      <w:r>
        <w:t xml:space="preserve">To prevent visual confusion with expectation brackets or intervals,</w:t>
      </w:r>
      <w:r>
        <w:t xml:space="preserve"> </w:t>
      </w:r>
      <w:r>
        <w:t xml:space="preserve">statistical literature predominantly uses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rather than the bare Iverson bracket.</w:t>
      </w:r>
    </w:p>
    <w:bookmarkEnd w:id="44"/>
    <w:bookmarkStart w:id="46" w:name="summary-of-indicator-notations"/>
    <w:p>
      <w:pPr>
        <w:pStyle w:val="Heading3"/>
      </w:pPr>
      <w:r>
        <w:t xml:space="preserve">5.4 Summary of indicator notations</w:t>
      </w:r>
    </w:p>
    <w:p>
      <w:pPr>
        <w:pStyle w:val="FirstParagraph"/>
      </w:pPr>
      <w:hyperlink w:anchor="tbl-indicator-notations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compares the major notations encountered across the literature.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5" w:name="tbl-indicator-notatio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Notations for indicator functions across mathematical and statistical literature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64"/>
              <w:gridCol w:w="1564"/>
              <w:gridCol w:w="1564"/>
              <w:gridCol w:w="322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Notation style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Typical syntax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Primary fields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Notes and potential ambiguities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Blackboard bold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1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Modern probability, mathematical statistics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Unambiguous; distinct from matrices and scalars; standard in this book.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Bold numeral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rPr>
                            <m:sty m:val="b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b"/>
                      </m:rPr>
                      <m:t>1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Probability theory, measure theory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Can be confused with a vector of ones</w:t>
                  </w:r>
                  <w:r>
                    <w:t xml:space="preserve"> </w:t>
                  </w:r>
                  <m:oMath>
                    <m:r>
                      <m:rPr>
                        <m:sty m:val="b"/>
                      </m:rPr>
                      <m:t>1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Blackboard bold 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cr m:val="double-struck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Econometrics, machine learning, statistics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Clear predicate notation; avoids confusion with numerals.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Letter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I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I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Classical statistics, epidemiology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Can be confused with the identity matrix</w:t>
                  </w:r>
                  <w:r>
                    <w:t xml:space="preserve"> </w:t>
                  </w:r>
                  <m:oMath>
                    <m:r>
                      <m:t>I</m:t>
                    </m:r>
                  </m:oMath>
                  <w:r>
                    <w:t xml:space="preserve"> </w:t>
                  </w:r>
                  <w:r>
                    <w:t xml:space="preserve">or Fisher information</w:t>
                  </w:r>
                  <w:r>
                    <w:t xml:space="preserve"> </w:t>
                  </w: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Iverson bracket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[</m:t>
                    </m:r>
                    <m:r>
                      <m:t>P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Computer science, discrete mathematics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Very compact, but square brackets collide with intervals and expectation brackets.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Greek letter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χ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χ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Real analysis, measure theory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Often termed</w:t>
                  </w:r>
                  <w:r>
                    <w:t xml:space="preserve"> </w:t>
                  </w:r>
                  <w:r>
                    <w:t xml:space="preserve">“characteristic function”</w:t>
                  </w:r>
                  <w:r>
                    <w:t xml:space="preserve">; collides with the Fourier transform in probability.</w:t>
                  </w:r>
                </w:p>
              </w:tc>
            </w:tr>
          </w:tbl>
          <w:bookmarkEnd w:id="45"/>
          <w:p/>
        </w:tc>
      </w:tr>
    </w:tbl>
    <w:bookmarkEnd w:id="46"/>
    <w:bookmarkStart w:id="47" w:name="conventions-in-this-book"/>
    <w:p>
      <w:pPr>
        <w:pStyle w:val="Heading3"/>
      </w:pPr>
      <w:r>
        <w:t xml:space="preserve">5.5 Conventions in this book</w:t>
      </w:r>
    </w:p>
    <w:p>
      <w:pPr>
        <w:pStyle w:val="FirstParagraph"/>
      </w:pPr>
      <w:r>
        <w:t xml:space="preserve">In these notes,</w:t>
      </w:r>
      <w:r>
        <w:t xml:space="preserve"> </w:t>
      </w:r>
      <w:r>
        <w:t xml:space="preserve">we standardize on blackboard bold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via the macros defined in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\indic{A}</w:t>
      </w:r>
      <w:r>
        <w:t xml:space="preserve"> </w:t>
      </w:r>
      <w:r>
        <w:t xml:space="preserve">produces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(set subscript)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\indicp{P}</w:t>
      </w:r>
      <w:r>
        <w:t xml:space="preserve"> </w:t>
      </w:r>
      <w:r>
        <w:t xml:space="preserve">produces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(predicate in parentheses)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\indiccb{P}</w:t>
      </w:r>
      <w:r>
        <w:t xml:space="preserve"> </w:t>
      </w:r>
      <w:r>
        <w:t xml:space="preserve">produces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(predicate in curly braces)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\1{P}</w:t>
      </w:r>
      <w:r>
        <w:t xml:space="preserve"> </w:t>
      </w:r>
      <w:r>
        <w:t xml:space="preserve">produces</w:t>
      </w:r>
      <w:r>
        <w:t xml:space="preserve"> </w:t>
      </w:r>
      <m:oMath>
        <m:sSub>
          <m:e>
            <m:r>
              <m:rPr>
                <m:nor/>
                <m:sty m:val="p"/>
              </m:rPr>
              <m:t>1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(text numeral with subscript, used in legacy formulas)</w:t>
      </w:r>
    </w:p>
    <w:p>
      <w:pPr>
        <w:pStyle w:val="FirstParagraph"/>
      </w:pPr>
      <w:r>
        <w:t xml:space="preserve">Blackboard bold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is preferred because it avoids all common collisions:</w:t>
      </w:r>
      <w:r>
        <w:t xml:space="preserve"> </w:t>
      </w:r>
      <w:r>
        <w:t xml:space="preserve">it is visually distinct from the scalar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 identity matrix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the information matrices (</w:t>
      </w:r>
      <m:oMath>
        <m:r>
          <m:t>I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).</w:t>
      </w:r>
    </w:p>
    <w:bookmarkEnd w:id="47"/>
    <w:bookmarkStart w:id="48" w:name="key-algebraic-properties"/>
    <w:p>
      <w:pPr>
        <w:pStyle w:val="Heading3"/>
      </w:pPr>
      <w:r>
        <w:t xml:space="preserve">5.6 Key algebraic properties</w:t>
      </w:r>
    </w:p>
    <w:p>
      <w:pPr>
        <w:pStyle w:val="FirstParagraph"/>
      </w:pPr>
      <w:r>
        <w:t xml:space="preserve">Indicator functions translate logical operations on events into ordinary arithmetic on real numbers:</w:t>
      </w:r>
    </w:p>
    <w:p>
      <w:pPr>
        <w:pStyle w:val="BodyText"/>
      </w:pPr>
      <w:r>
        <w:t xml:space="preserve">For subsets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with complement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Ω</m:t>
        </m:r>
        <m:r>
          <m:rPr>
            <m:sty m:val="p"/>
          </m:rPr>
          <m:t>\</m:t>
        </m:r>
        <m:r>
          <m:t>A</m:t>
        </m:r>
      </m:oMath>
      <w:r>
        <w:t xml:space="preserve">,</w:t>
      </w:r>
      <w:r>
        <w:t xml:space="preserve"> </w:t>
      </w:r>
      <w:r>
        <w:t xml:space="preserve">and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Ω</m:t>
        </m:r>
      </m:oMath>
      <w:r>
        <w:t xml:space="preserve">: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Intersection (</w:t>
      </w:r>
      <w:r>
        <w:rPr>
          <w:b/>
          <w:bCs/>
        </w:rPr>
        <w:t xml:space="preserve">“and”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  <m:r>
              <m:rPr>
                <m:sty m:val="p"/>
              </m:rPr>
              <m:t>∩</m:t>
            </m:r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3"/>
        </w:numPr>
      </w:pPr>
      <w:r>
        <w:rPr>
          <w:b/>
          <w:bCs/>
        </w:rPr>
        <w:t xml:space="preserve">Union (</w:t>
      </w:r>
      <w:r>
        <w:rPr>
          <w:b/>
          <w:bCs/>
        </w:rPr>
        <w:t xml:space="preserve">“or”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  <m:r>
              <m:rPr>
                <m:sty m:val="p"/>
              </m:rPr>
              <m:t>∪</m:t>
            </m:r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3"/>
        </w:numPr>
      </w:pPr>
      <w:r>
        <w:rPr>
          <w:b/>
          <w:bCs/>
        </w:rPr>
        <w:t xml:space="preserve">Complement (</w:t>
      </w:r>
      <w:r>
        <w:rPr>
          <w:b/>
          <w:bCs/>
        </w:rPr>
        <w:t xml:space="preserve">“not”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3"/>
        </w:numPr>
      </w:pPr>
      <w:r>
        <w:rPr>
          <w:b/>
          <w:bCs/>
        </w:rPr>
        <w:t xml:space="preserve">Idempotence: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3"/>
        </w:numPr>
      </w:pPr>
      <w:r>
        <w:rPr>
          <w:b/>
          <w:bCs/>
        </w:rPr>
        <w:t xml:space="preserve">Expectation gives probability: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its indicator is the probability of the event: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rPr>
              <m:sty m:val="p"/>
            </m:rPr>
            <m:t>[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This fundamental identity connects probability theory directly to linear expectation.</w:t>
      </w:r>
      <w:r>
        <w:t xml:space="preserve"> </w:t>
      </w:r>
      <w:r>
        <w:t xml:space="preserve">It provides the mathematical foundation for empirical proportions,</w:t>
      </w:r>
      <w:r>
        <w:t xml:space="preserve"> </w:t>
      </w:r>
      <w:r>
        <w:t xml:space="preserve">survival curve estimators,</w:t>
      </w:r>
      <w:r>
        <w:t xml:space="preserve"> </w:t>
      </w:r>
      <w:r>
        <w:t xml:space="preserve">and regression models for binary outcomes.</w:t>
      </w:r>
    </w:p>
    <w:bookmarkEnd w:id="48"/>
    <w:bookmarkEnd w:id="49"/>
    <w:bookmarkStart w:id="63" w:name="sec-notational-shorthands"/>
    <w:p>
      <w:pPr>
        <w:pStyle w:val="Heading2"/>
      </w:pPr>
      <w:r>
        <w:t xml:space="preserve">6 Notational shorthands</w:t>
      </w:r>
    </w:p>
    <w:bookmarkStart w:id="50" w:name="def-notational-shorthand"/>
    <w:p>
      <w:pPr>
        <w:pStyle w:val="FirstParagraph"/>
      </w:pPr>
      <w:r>
        <w:rPr>
          <w:b/>
          <w:bCs/>
        </w:rPr>
        <w:t xml:space="preserve">Definition 6 (Notational shorthand)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notational shorthand</w:t>
      </w:r>
      <w:r>
        <w:t xml:space="preserve"> </w:t>
      </w:r>
      <w:r>
        <w:t xml:space="preserve">is a way of writing an expression</w:t>
      </w:r>
      <w:r>
        <w:t xml:space="preserve"> </w:t>
      </w:r>
      <w:r>
        <w:t xml:space="preserve">that leaves part of the expression out,</w:t>
      </w:r>
      <w:r>
        <w:t xml:space="preserve"> </w:t>
      </w:r>
      <w:r>
        <w:t xml:space="preserve">such as the set a sum runs over or the limits of an integral,</w:t>
      </w:r>
      <w:r>
        <w:t xml:space="preserve"> </w:t>
      </w:r>
      <w:r>
        <w:t xml:space="preserve">and relies on the reader to supply the missing part from context.</w:t>
      </w:r>
      <w:r>
        <w:t xml:space="preserve"> </w:t>
      </w:r>
      <w:r>
        <w:t xml:space="preserve">The expression with every part written out is its</w:t>
      </w:r>
      <w:r>
        <w:t xml:space="preserve"> </w:t>
      </w:r>
      <w:r>
        <w:rPr>
          <w:b/>
          <w:bCs/>
        </w:rPr>
        <w:t xml:space="preserve">full form</w:t>
      </w:r>
      <w:r>
        <w:t xml:space="preserve">.</w:t>
      </w:r>
    </w:p>
    <w:bookmarkEnd w:id="5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These notes write the full form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these notes,</w:t>
            </w:r>
            <w:r>
              <w:t xml:space="preserve"> </w:t>
            </w:r>
            <w:r>
              <w:t xml:space="preserve">we avoid notational shorthands in permanent writing</w:t>
            </w:r>
            <w:r>
              <w:t xml:space="preserve"> </w:t>
            </w:r>
            <w:r>
              <w:t xml:space="preserve">and write the full form of each expression,</w:t>
            </w:r>
            <w:r>
              <w:t xml:space="preserve"> </w:t>
            </w:r>
            <w:r>
              <w:t xml:space="preserve">even where a shorthand would be shorter.</w:t>
            </w:r>
            <w:r>
              <w:t xml:space="preserve"> </w:t>
            </w:r>
            <w:r>
              <w:t xml:space="preserve">A reader who supplies the missing part of a shorthand</w:t>
            </w:r>
            <w:r>
              <w:t xml:space="preserve"> </w:t>
            </w:r>
            <w:r>
              <w:t xml:space="preserve">from a different context than the writer intended</w:t>
            </w:r>
            <w:r>
              <w:t xml:space="preserve"> </w:t>
            </w:r>
            <w:r>
              <w:t xml:space="preserve">reads a different expression than the one the writer meant.</w:t>
            </w:r>
            <w:r>
              <w:t xml:space="preserve"> </w:t>
            </w:r>
            <w:r>
              <w:t xml:space="preserve">Handwritten board work is often less complete,</w:t>
            </w:r>
            <w:r>
              <w:t xml:space="preserve"> </w:t>
            </w:r>
            <w:r>
              <w:t xml:space="preserve">but it should still write out ranges and limits where it can.</w:t>
            </w:r>
          </w:p>
          <w:p>
            <w:pPr>
              <w:pStyle w:val="BodyText"/>
            </w:pPr>
            <w:r>
              <w:t xml:space="preserve">We make one exception:</w:t>
            </w:r>
            <w:r>
              <w:t xml:space="preserve"> </w:t>
            </w:r>
            <w:r>
              <w:t xml:space="preserve">writing two factors side by side means multiplying them,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m:oMath>
              <m:r>
                <m:t>2</m:t>
              </m:r>
              <m:r>
                <m:t>x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t>b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still write the multiplication sign</w:t>
            </w:r>
            <w:r>
              <w:t xml:space="preserve"> </w:t>
            </w:r>
            <w:r>
              <w:t xml:space="preserve">when the side-by-side form could be misread: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oMath>
            <w:r>
              <w:t xml:space="preserve">, not</w:t>
            </w:r>
            <w:r>
              <w:t xml:space="preserve"> </w:t>
            </w:r>
            <m:oMath>
              <m:r>
                <m:t>23</m:t>
              </m:r>
            </m:oMath>
            <w:r>
              <w:t xml:space="preserve">, which reads as twenty-three;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could be a function,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could mean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evaluated at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.</w:t>
            </w:r>
          </w:p>
          <w:p/>
        </w:tc>
      </w:tr>
    </w:tbl>
    <w:bookmarkStart w:id="53" w:name="def-range-of-variable"/>
    <w:p>
      <w:pPr>
        <w:pStyle w:val="FirstParagraph"/>
      </w:pPr>
      <w:r>
        <w:rPr>
          <w:b/>
          <w:bCs/>
        </w:rPr>
        <w:t xml:space="preserve">Definition 7 (Range of a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, written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bookmarkEnd w:id="53"/>
    <w:p>
      <w:pPr>
        <w:pStyle w:val="BodyText"/>
      </w:pPr>
      <w:r>
        <w:t xml:space="preserve">For example,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number of heads in two tosses of a coin,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31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r:id="rId54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55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only for variables:</w:t>
      </w:r>
      <w:r>
        <w:t xml:space="preserve"> </w:t>
      </w:r>
      <w:r>
        <w:t xml:space="preserve">for a function,</w:t>
      </w:r>
      <w:r>
        <w:t xml:space="preserve"> </w:t>
      </w:r>
      <w:r>
        <w:t xml:space="preserve">“range”</w:t>
      </w:r>
      <w:r>
        <w:t xml:space="preserve"> </w:t>
      </w:r>
      <w:r>
        <w:t xml:space="preserve">can mean either the image or the codomain</w:t>
      </w:r>
      <w:r>
        <w:t xml:space="preserve"> </w:t>
      </w:r>
      <w:r>
        <w:t xml:space="preserve">(</w:t>
      </w:r>
      <w:hyperlink r:id="rId56">
        <w:r>
          <w:rPr>
            <w:rStyle w:val="Hyperlink"/>
          </w:rPr>
          <w:t xml:space="preserve">Image and range</w:t>
        </w:r>
      </w:hyperlink>
      <w:r>
        <w:t xml:space="preserve">).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“the range”</w:t>
      </w:r>
      <w:r>
        <w:t xml:space="preserve"> </w:t>
      </w:r>
      <w:r>
        <w:t xml:space="preserve">of a dataset can also mean</w:t>
      </w:r>
      <w:r>
        <w:t xml:space="preserve"> </w:t>
      </w:r>
      <w:r>
        <w:t xml:space="preserve">its largest value minus its smallest value;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set, not that difference.</w:t>
      </w:r>
    </w:p>
    <w:p>
      <w:pPr>
        <w:pStyle w:val="BodyText"/>
      </w:pPr>
      <w:hyperlink w:anchor="tbl-notational-shorthands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lists shorthands you may meet in other sources,</w:t>
      </w:r>
      <w:r>
        <w:t xml:space="preserve"> </w:t>
      </w:r>
      <w:r>
        <w:t xml:space="preserve">the full form each one abbreviates,</w:t>
      </w:r>
      <w:r>
        <w:t xml:space="preserve"> </w:t>
      </w:r>
      <w:r>
        <w:t xml:space="preserve">and the part each one leaves out.</w:t>
      </w:r>
      <w:r>
        <w:t xml:space="preserve"> </w:t>
      </w:r>
      <w:r>
        <w:t xml:space="preserve">In the table,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array,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an integer 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5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and, in the first row,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finite set.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9" w:name="tbl-notational-shorthand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Common notational shorthands and their full forms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54"/>
              <w:gridCol w:w="2354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Shorthand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Full form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Part left out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 the sum runs over (</w:t>
                  </w:r>
                  <w:hyperlink r:id="rId57">
                    <w:r>
                      <w:rPr>
                        <w:rStyle w:val="Hyperlink"/>
                      </w:rPr>
                      <w:t xml:space="preserve">sum over a finite set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 (</w:t>
                  </w:r>
                  <w:hyperlink r:id="rId58">
                    <w:r>
                      <w:rPr>
                        <w:rStyle w:val="Hyperlink"/>
                      </w:rPr>
                      <w:t xml:space="preserve">summation notation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m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b</m:t>
                                </m:r>
                              </m:e>
                              <m:sub>
                                <m:r>
                                  <m:t>i</m:t>
                                </m:r>
                                <m:r>
                                  <m:t>j</m:t>
                                </m:r>
                              </m:sub>
                            </m:sSub>
                          </m:e>
                        </m:nary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both indices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k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…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n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\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k</m:t>
                            </m:r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</w:t>
                  </w:r>
                  <w:r>
                    <w:t xml:space="preserve"> </w:t>
                  </w:r>
                  <m:oMath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rPr>
                            <m:sty m:val="p"/>
                          </m:rPr>
                          <m:t>…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n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 </w:t>
                  </w:r>
                  <w:r>
                    <w:t xml:space="preserve">of indices that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  <w:r>
                    <w:t xml:space="preserve"> </w:t>
                  </w:r>
                  <w:r>
                    <w:t xml:space="preserve">is removed from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, used for a number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integration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limits, the variable of integration, and the differential</w:t>
                  </w:r>
                  <w:r>
                    <w:t xml:space="preserve"> </w:t>
                  </w:r>
                  <m:oMath>
                    <m:r>
                      <m:t>d</m:t>
                    </m:r>
                    <m:r>
                      <m:t>x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n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explicit list of entries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function’s name, domain, and codomain</w:t>
                  </w:r>
                </w:p>
              </w:tc>
            </w:tr>
          </w:tbl>
          <w:bookmarkEnd w:id="59"/>
          <w:p/>
        </w:tc>
      </w:tr>
    </w:tbl>
    <w:bookmarkStart w:id="61" w:name="rem-indefinite-integral-not-shorthand"/>
    <w:p>
      <w:pPr>
        <w:pStyle w:val="BodyText"/>
      </w:pPr>
      <w:r>
        <w:rPr>
          <w:i/>
          <w:iCs/>
        </w:rPr>
        <w:t xml:space="preserve">Remark 2</w:t>
      </w:r>
      <w:r>
        <w:t xml:space="preserve"> (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has two readings). </w:t>
      </w:r>
      <w:r>
        <w:t xml:space="preserve">In calculus,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with no limits is not a shorthand:</w:t>
      </w:r>
      <w:r>
        <w:t xml:space="preserve"> </w:t>
      </w:r>
      <w:r>
        <w:t xml:space="preserve">it is the</w:t>
      </w:r>
      <w:r>
        <w:t xml:space="preserve"> </w:t>
      </w:r>
      <w:hyperlink r:id="rId60">
        <w:r>
          <w:rPr>
            <w:rStyle w:val="Hyperlink"/>
          </w:rPr>
          <w:t xml:space="preserve">indefinite integral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 family of functions rather than a number.</w:t>
      </w:r>
      <w:r>
        <w:t xml:space="preserve"> </w:t>
      </w:r>
      <w:r>
        <w:t xml:space="preserve">Some sources, especially in probability,</w:t>
      </w:r>
      <w:r>
        <w:t xml:space="preserve"> </w:t>
      </w:r>
      <w:r>
        <w:t xml:space="preserve">also write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for the number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Writing the limits out tells the reader which of the two is meant.</w:t>
      </w:r>
    </w:p>
    <w:bookmarkEnd w:id="61"/>
    <w:bookmarkStart w:id="62" w:name="exm-expand-index-shorthand"/>
    <w:p>
      <w:pPr>
        <w:pStyle w:val="BodyText"/>
      </w:pPr>
      <w:r>
        <w:rPr>
          <w:b/>
          <w:bCs/>
        </w:rPr>
        <w:t xml:space="preserve">Example 5 (Writing out an index shorthand)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source that writes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summation 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62"/>
    <w:bookmarkEnd w:id="63"/>
    <w:bookmarkStart w:id="70" w:name="X93a3d4ef5e06a67ae6b891e46b41b74b3674f55"/>
    <w:p>
      <w:pPr>
        <w:pStyle w:val="Heading2"/>
      </w:pPr>
      <w:r>
        <w:t xml:space="preserve">7 Why is notation in probability and statistics so inconsistent and disorganized?</w:t>
      </w:r>
    </w:p>
    <w:p>
      <w:pPr>
        <w:pStyle w:val="FirstParagraph"/>
      </w:pPr>
      <w:r>
        <w:t xml:space="preserve">In grad school,</w:t>
      </w:r>
      <w:r>
        <w:t xml:space="preserve"> </w:t>
      </w:r>
      <w:r>
        <w:t xml:space="preserve">we are asked to learn</w:t>
      </w:r>
      <w:r>
        <w:t xml:space="preserve"> </w:t>
      </w:r>
      <w:r>
        <w:t xml:space="preserve">from increasingly disorganized materials and lectures.</w:t>
      </w:r>
      <w:r>
        <w:t xml:space="preserve"> </w:t>
      </w:r>
      <w:r>
        <w:t xml:space="preserve">Not coincidentally,</w:t>
      </w:r>
      <w:r>
        <w:t xml:space="preserve"> </w:t>
      </w:r>
      <w:r>
        <w:t xml:space="preserve">as the amount of organization decreases,</w:t>
      </w:r>
      <w:r>
        <w:t xml:space="preserve"> </w:t>
      </w:r>
      <w:r>
        <w:t xml:space="preserve">the amount of complexity increases,</w:t>
      </w:r>
      <w:r>
        <w:t xml:space="preserve"> </w:t>
      </w:r>
      <w:r>
        <w:t xml:space="preserve">the amount of difficulty increases,</w:t>
      </w:r>
      <w:r>
        <w:t xml:space="preserve"> </w:t>
      </w:r>
      <w:r>
        <w:t xml:space="preserve">the number of reliable references decreases,</w:t>
      </w:r>
      <w:r>
        <w:t xml:space="preserve"> </w:t>
      </w:r>
      <w:r>
        <w:t xml:space="preserve">and the amount of inconsistency in notation and content increases</w:t>
      </w:r>
      <w:r>
        <w:t xml:space="preserve"> </w:t>
      </w:r>
      <w:r>
        <w:t xml:space="preserve">(both between multiple references and within single references!).</w:t>
      </w:r>
      <w:r>
        <w:t xml:space="preserve"> </w:t>
      </w:r>
      <w:r>
        <w:t xml:space="preserve">In other words,</w:t>
      </w:r>
      <w:r>
        <w:t xml:space="preserve"> </w:t>
      </w:r>
      <w:r>
        <w:t xml:space="preserve">as you approach the cutting-edge of most fields,</w:t>
      </w:r>
      <w:r>
        <w:t xml:space="preserve"> </w:t>
      </w:r>
      <w:r>
        <w:t xml:space="preserve">you start to run into content</w:t>
      </w:r>
      <w:r>
        <w:t xml:space="preserve"> </w:t>
      </w:r>
      <w:r>
        <w:t xml:space="preserve">that hasn’t been fully thought through or standardized.</w:t>
      </w:r>
      <w:r>
        <w:t xml:space="preserve"> </w:t>
      </w:r>
      <w:r>
        <w:t xml:space="preserve">This lack of clarity</w:t>
      </w:r>
      <w:r>
        <w:t xml:space="preserve"> </w:t>
      </w:r>
      <w:r>
        <w:t xml:space="preserve">is unfortunate and undesirable,</w:t>
      </w:r>
      <w:r>
        <w:t xml:space="preserve"> </w:t>
      </w:r>
      <w:r>
        <w:t xml:space="preserve">but it is understandable and inevitable.</w:t>
      </w:r>
    </w:p>
    <w:p>
      <w:pPr>
        <w:pStyle w:val="BodyText"/>
      </w:pPr>
      <w:r>
        <w:t xml:space="preserve">It’s worth noting</w:t>
      </w:r>
      <w:r>
        <w:t xml:space="preserve"> </w:t>
      </w:r>
      <w:r>
        <w:t xml:space="preserve">that calculus was formalized in the</w:t>
      </w:r>
      <w:r>
        <w:t xml:space="preserve"> </w:t>
      </w:r>
      <w:hyperlink r:id="rId64">
        <w:r>
          <w:rPr>
            <w:rStyle w:val="Hyperlink"/>
          </w:rPr>
          <w:t xml:space="preserve">1600s</w:t>
        </w:r>
      </w:hyperlink>
      <w:r>
        <w:t xml:space="preserve">,</w:t>
      </w:r>
      <w:r>
        <w:t xml:space="preserve"> </w:t>
      </w:r>
      <w:r>
        <w:t xml:space="preserve">elementary algebra was formalized around</w:t>
      </w:r>
      <w:r>
        <w:t xml:space="preserve"> </w:t>
      </w:r>
      <w:hyperlink r:id="rId65">
        <w:r>
          <w:rPr>
            <w:rStyle w:val="Hyperlink"/>
          </w:rPr>
          <w:t xml:space="preserve">820</w:t>
        </w:r>
      </w:hyperlink>
      <w:r>
        <w:t xml:space="preserve">,</w:t>
      </w:r>
      <w:r>
        <w:t xml:space="preserve"> </w:t>
      </w:r>
      <w:r>
        <w:t xml:space="preserve">and arithmetic</w:t>
      </w:r>
      <w:r>
        <w:t xml:space="preserve"> </w:t>
      </w:r>
      <w:hyperlink r:id="rId66">
        <w:r>
          <w:rPr>
            <w:rStyle w:val="Hyperlink"/>
          </w:rPr>
          <w:t xml:space="preserve">even earlier</w:t>
        </w:r>
      </w:hyperlink>
      <w:r>
        <w:t xml:space="preserve">.</w:t>
      </w:r>
      <w:r>
        <w:t xml:space="preserve"> </w:t>
      </w:r>
      <w:r>
        <w:t xml:space="preserve">And calculus still has</w:t>
      </w:r>
      <w:r>
        <w:t xml:space="preserve"> </w:t>
      </w:r>
      <w:hyperlink r:id="rId67">
        <w:r>
          <w:rPr>
            <w:rStyle w:val="Hyperlink"/>
          </w:rPr>
          <w:t xml:space="preserve">several competing notation systems</w:t>
        </w:r>
      </w:hyperlink>
      <w:r>
        <w:t xml:space="preserve">.</w:t>
      </w:r>
      <w:r>
        <w:t xml:space="preserve"> </w:t>
      </w:r>
      <w:r>
        <w:t xml:space="preserve">In contrast, the field of statistics only emerged in the</w:t>
      </w:r>
      <w:r>
        <w:t xml:space="preserve"> </w:t>
      </w:r>
      <w:hyperlink r:id="rId68">
        <w:r>
          <w:rPr>
            <w:rStyle w:val="Hyperlink"/>
          </w:rPr>
          <w:t xml:space="preserve">late 1800s and early 1900s</w:t>
        </w:r>
      </w:hyperlink>
      <w:r>
        <w:t xml:space="preserve">,</w:t>
      </w:r>
      <w:r>
        <w:t xml:space="preserve"> </w:t>
      </w:r>
      <w:r>
        <w:t xml:space="preserve">so it’s not surprising that the notation and terminology is still developing.</w:t>
      </w:r>
      <w:r>
        <w:t xml:space="preserve"> </w:t>
      </w:r>
      <w:r>
        <w:t xml:space="preserve">Generalized linear models were only formalized in 1972</w:t>
      </w:r>
      <w:r>
        <w:t xml:space="preserve"> </w:t>
      </w:r>
      <w:r>
        <w:t xml:space="preserve">(Nelder and Wedderburn 1972)</w:t>
      </w:r>
      <w:r>
        <w:t xml:space="preserve">,</w:t>
      </w:r>
      <w:r>
        <w:t xml:space="preserve"> </w:t>
      </w:r>
      <w:r>
        <w:t xml:space="preserve">which is very recent in terms of the</w:t>
      </w:r>
      <w:r>
        <w:t xml:space="preserve"> </w:t>
      </w:r>
      <w:hyperlink r:id="rId69">
        <w:r>
          <w:rPr>
            <w:rStyle w:val="Hyperlink"/>
          </w:rPr>
          <w:t xml:space="preserve">pace of scientific development</w:t>
        </w:r>
      </w:hyperlink>
      <w:r>
        <w:t xml:space="preserve">.</w:t>
      </w:r>
    </w:p>
    <w:bookmarkEnd w:id="70"/>
    <w:bookmarkStart w:id="72" w:name="sec-further-reading"/>
    <w:p>
      <w:pPr>
        <w:pStyle w:val="Heading2"/>
      </w:pPr>
      <w:r>
        <w:t xml:space="preserve">8 Further reading</w:t>
      </w:r>
    </w:p>
    <w:p>
      <w:pPr>
        <w:pStyle w:val="FirstParagraph"/>
      </w:pPr>
      <w:r>
        <w:t xml:space="preserve">For the logical symbols and proof conventions used in these notes:</w:t>
      </w:r>
    </w:p>
    <w:p>
      <w:pPr>
        <w:pStyle w:val="Compact"/>
        <w:numPr>
          <w:ilvl w:val="0"/>
          <w:numId w:val="1015"/>
        </w:numPr>
      </w:pPr>
      <w:r>
        <w:t xml:space="preserve">Velleman (2019)</w:t>
      </w:r>
      <w:r>
        <w:t xml:space="preserve"> </w:t>
      </w:r>
      <w:r>
        <w:t xml:space="preserve">explains how mathematical statements are built from logical connectives and quantifiers,</w:t>
      </w:r>
      <w:r>
        <w:t xml:space="preserve"> </w:t>
      </w:r>
      <w:r>
        <w:t xml:space="preserve">and how to read and write them.</w:t>
      </w:r>
    </w:p>
    <w:p>
      <w:pPr>
        <w:pStyle w:val="Compact"/>
        <w:numPr>
          <w:ilvl w:val="0"/>
          <w:numId w:val="1015"/>
        </w:numPr>
      </w:pPr>
      <w:r>
        <w:t xml:space="preserve">Barker-Plummer et al. (2011)</w:t>
      </w:r>
      <w:r>
        <w:t xml:space="preserve"> </w:t>
      </w:r>
      <w:r>
        <w:t xml:space="preserve">covers the same symbols as a formal language,</w:t>
      </w:r>
      <w:r>
        <w:t xml:space="preserve"> </w:t>
      </w:r>
      <w:r>
        <w:t xml:space="preserve">with propositional and first-order logic.</w:t>
      </w:r>
    </w:p>
    <w:p>
      <w:pPr>
        <w:pStyle w:val="FirstParagraph"/>
      </w:pPr>
      <w:r>
        <w:t xml:space="preserve">For set and function notation, see the</w:t>
      </w:r>
      <w:r>
        <w:t xml:space="preserve"> </w:t>
      </w:r>
      <w:hyperlink r:id="rId71">
        <w:r>
          <w:rPr>
            <w:rStyle w:val="Hyperlink"/>
          </w:rPr>
          <w:t xml:space="preserve">Sets and Functions</w:t>
        </w:r>
      </w:hyperlink>
      <w:r>
        <w:t xml:space="preserve"> </w:t>
      </w:r>
      <w:r>
        <w:t xml:space="preserve">page.</w:t>
      </w:r>
    </w:p>
    <w:bookmarkEnd w:id="72"/>
    <w:bookmarkStart w:id="80" w:name="references"/>
    <w:p>
      <w:pPr>
        <w:pStyle w:val="Heading2"/>
      </w:pPr>
      <w:r>
        <w:t xml:space="preserve">References</w:t>
      </w:r>
    </w:p>
    <w:bookmarkStart w:id="79" w:name="refs"/>
    <w:bookmarkStart w:id="74" w:name="ref-barkerplummer2011language"/>
    <w:p>
      <w:pPr>
        <w:pStyle w:val="Bibliography"/>
      </w:pPr>
      <w:r>
        <w:t xml:space="preserve">Barker-Plummer, Dave, Jon Barwise, and John Etchemendy. 2011.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. 2nd ed. CSLI Publications.</w:t>
      </w:r>
      <w:r>
        <w:t xml:space="preserve"> </w:t>
      </w:r>
      <w:hyperlink r:id="rId73">
        <w:r>
          <w:rPr>
            <w:rStyle w:val="Hyperlink"/>
          </w:rPr>
          <w:t xml:space="preserve">https://www.amazon.com/dp/1575866323</w:t>
        </w:r>
      </w:hyperlink>
      <w:r>
        <w:t xml:space="preserve">.</w:t>
      </w:r>
    </w:p>
    <w:bookmarkEnd w:id="74"/>
    <w:bookmarkStart w:id="76" w:name="ref-nelder1972generalized"/>
    <w:p>
      <w:pPr>
        <w:pStyle w:val="Bibliography"/>
      </w:pPr>
      <w:r>
        <w:t xml:space="preserve">Nelder, John Ashworth, and Robert WM Wedderburn. 1972.</w:t>
      </w:r>
      <w:r>
        <w:t xml:space="preserve"> </w:t>
      </w:r>
      <w:r>
        <w:t xml:space="preserve">“Generalized Linear Models.”</w:t>
      </w:r>
      <w:r>
        <w:t xml:space="preserve"> </w:t>
      </w:r>
      <w:r>
        <w:rPr>
          <w:i/>
          <w:iCs/>
        </w:rPr>
        <w:t xml:space="preserve">Journal of the Royal Statistical Society Series A: Statistics in Society</w:t>
      </w:r>
      <w:r>
        <w:t xml:space="preserve"> </w:t>
      </w:r>
      <w:r>
        <w:t xml:space="preserve">135 (3): 370–84.</w:t>
      </w:r>
      <w:r>
        <w:t xml:space="preserve"> </w:t>
      </w:r>
      <w:hyperlink r:id="rId75">
        <w:r>
          <w:rPr>
            <w:rStyle w:val="Hyperlink"/>
          </w:rPr>
          <w:t xml:space="preserve">https://doi.org/10.2307/2344614</w:t>
        </w:r>
      </w:hyperlink>
      <w:r>
        <w:t xml:space="preserve">.</w:t>
      </w:r>
    </w:p>
    <w:bookmarkEnd w:id="76"/>
    <w:bookmarkStart w:id="78" w:name="ref-velleman2019prove"/>
    <w:p>
      <w:pPr>
        <w:pStyle w:val="Bibliography"/>
      </w:pPr>
      <w:r>
        <w:t xml:space="preserve">Velleman, Daniel J. 2019.</w:t>
      </w:r>
      <w:r>
        <w:t xml:space="preserve"> </w:t>
      </w:r>
      <w:r>
        <w:rPr>
          <w:i/>
          <w:iCs/>
        </w:rPr>
        <w:t xml:space="preserve">How to Prove It: A Structured Approach</w:t>
      </w:r>
      <w:r>
        <w:t xml:space="preserve">. 3rd ed. Cambridge University Press.</w:t>
      </w:r>
      <w:r>
        <w:t xml:space="preserve"> </w:t>
      </w:r>
      <w:hyperlink r:id="rId77">
        <w:r>
          <w:rPr>
            <w:rStyle w:val="Hyperlink"/>
          </w:rPr>
          <w:t xml:space="preserve">https://doi.org/10.1017/9781108539890</w:t>
        </w:r>
      </w:hyperlink>
      <w:r>
        <w:t xml:space="preserve">.</w:t>
      </w:r>
    </w:p>
    <w:bookmarkEnd w:id="78"/>
    <w:bookmarkEnd w:id="79"/>
    <w:bookmarkEnd w:id="8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1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depending on whether it is applied to a matrix or a function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hyperlink" Id="rId57" Target="algebra.qmd#def-sum-over-set" TargetMode="External" /><Relationship Type="http://schemas.openxmlformats.org/officeDocument/2006/relationships/hyperlink" Id="rId58" Target="algebra.qmd#def-summation" TargetMode="External" /><Relationship Type="http://schemas.openxmlformats.org/officeDocument/2006/relationships/hyperlink" Id="rId9" Target="algebra.qmd#sec-summation" TargetMode="External" /><Relationship Type="http://schemas.openxmlformats.org/officeDocument/2006/relationships/hyperlink" Id="rId60" Target="calculus.qmd#def-indefinite-integral" TargetMode="External" /><Relationship Type="http://schemas.openxmlformats.org/officeDocument/2006/relationships/hyperlink" Id="rId77" Target="https://doi.org/10.1017/9781108539890" TargetMode="External" /><Relationship Type="http://schemas.openxmlformats.org/officeDocument/2006/relationships/hyperlink" Id="rId75" Target="https://doi.org/10.2307/2344614" TargetMode="External" /><Relationship Type="http://schemas.openxmlformats.org/officeDocument/2006/relationships/hyperlink" Id="rId25" Target="https://en.wikipedia.org/w/index.php?title=Natural_number&amp;oldid=1375965996" TargetMode="External" /><Relationship Type="http://schemas.openxmlformats.org/officeDocument/2006/relationships/hyperlink" Id="rId65" Target="https://en.wikipedia.org/wiki/Al-Jabr" TargetMode="External" /><Relationship Type="http://schemas.openxmlformats.org/officeDocument/2006/relationships/hyperlink" Id="rId66" Target="https://en.wikipedia.org/wiki/Arithmetic#History" TargetMode="External" /><Relationship Type="http://schemas.openxmlformats.org/officeDocument/2006/relationships/hyperlink" Id="rId13" Target="https://en.wikipedia.org/wiki/Generalized_linear_model#:~:text=The%20linear%20predictor%20is%20the,data%20through%20the%20link%20function" TargetMode="External" /><Relationship Type="http://schemas.openxmlformats.org/officeDocument/2006/relationships/hyperlink" Id="rId68" Target="https://en.wikipedia.org/wiki/History_of_statistics#Development_of_modern_statistics" TargetMode="External" /><Relationship Type="http://schemas.openxmlformats.org/officeDocument/2006/relationships/hyperlink" Id="rId37" Target="https://en.wikipedia.org/wiki/Iverson_bracket" TargetMode="External" /><Relationship Type="http://schemas.openxmlformats.org/officeDocument/2006/relationships/hyperlink" Id="rId64" Target="https://en.wikipedia.org/wiki/Leibniz%27s_notation" TargetMode="External" /><Relationship Type="http://schemas.openxmlformats.org/officeDocument/2006/relationships/hyperlink" Id="rId67" Target="https://en.wikipedia.org/wiki/Notation_for_differentiation" TargetMode="External" /><Relationship Type="http://schemas.openxmlformats.org/officeDocument/2006/relationships/hyperlink" Id="rId27" Target="https://en.wikipedia.org/wiki/Percentage" TargetMode="External" /><Relationship Type="http://schemas.openxmlformats.org/officeDocument/2006/relationships/hyperlink" Id="rId69" Target="https://en.wikipedia.org/wiki/The_Structure_of_Scientific_Revolutions" TargetMode="External" /><Relationship Type="http://schemas.openxmlformats.org/officeDocument/2006/relationships/hyperlink" Id="rId10" Target="https://morrison-lab.github.io/pds/expectation.html#def-expectation" TargetMode="External" /><Relationship Type="http://schemas.openxmlformats.org/officeDocument/2006/relationships/hyperlink" Id="rId12" Target="https://morrison-lab.github.io/pds/independence.html#def-indpt" TargetMode="External" /><Relationship Type="http://schemas.openxmlformats.org/officeDocument/2006/relationships/hyperlink" Id="rId31" Target="https://morrison-lab.github.io/pds/random-variables.html#def-random-variable" TargetMode="External" /><Relationship Type="http://schemas.openxmlformats.org/officeDocument/2006/relationships/hyperlink" Id="rId15" Target="https://quarto.org/docs/authoring/markdown-basics.html#equations" TargetMode="External" /><Relationship Type="http://schemas.openxmlformats.org/officeDocument/2006/relationships/hyperlink" Id="rId73" Target="https://www.amazon.com/dp/1575866323" TargetMode="External" /><Relationship Type="http://schemas.openxmlformats.org/officeDocument/2006/relationships/hyperlink" Id="rId71" Target="sets-functions.qmd" TargetMode="External" /><Relationship Type="http://schemas.openxmlformats.org/officeDocument/2006/relationships/hyperlink" Id="rId54" Target="sets-functions.qmd#def-function" TargetMode="External" /><Relationship Type="http://schemas.openxmlformats.org/officeDocument/2006/relationships/hyperlink" Id="rId55" Target="sets-functions.qmd#def-image" TargetMode="External" /><Relationship Type="http://schemas.openxmlformats.org/officeDocument/2006/relationships/hyperlink" Id="rId56" Target="sets-functions.qmd#rem-image-rang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7" Target="algebra.qmd#def-sum-over-set" TargetMode="External" /><Relationship Type="http://schemas.openxmlformats.org/officeDocument/2006/relationships/hyperlink" Id="rId58" Target="algebra.qmd#def-summation" TargetMode="External" /><Relationship Type="http://schemas.openxmlformats.org/officeDocument/2006/relationships/hyperlink" Id="rId9" Target="algebra.qmd#sec-summation" TargetMode="External" /><Relationship Type="http://schemas.openxmlformats.org/officeDocument/2006/relationships/hyperlink" Id="rId60" Target="calculus.qmd#def-indefinite-integral" TargetMode="External" /><Relationship Type="http://schemas.openxmlformats.org/officeDocument/2006/relationships/hyperlink" Id="rId77" Target="https://doi.org/10.1017/9781108539890" TargetMode="External" /><Relationship Type="http://schemas.openxmlformats.org/officeDocument/2006/relationships/hyperlink" Id="rId75" Target="https://doi.org/10.2307/2344614" TargetMode="External" /><Relationship Type="http://schemas.openxmlformats.org/officeDocument/2006/relationships/hyperlink" Id="rId25" Target="https://en.wikipedia.org/w/index.php?title=Natural_number&amp;oldid=1375965996" TargetMode="External" /><Relationship Type="http://schemas.openxmlformats.org/officeDocument/2006/relationships/hyperlink" Id="rId65" Target="https://en.wikipedia.org/wiki/Al-Jabr" TargetMode="External" /><Relationship Type="http://schemas.openxmlformats.org/officeDocument/2006/relationships/hyperlink" Id="rId66" Target="https://en.wikipedia.org/wiki/Arithmetic#History" TargetMode="External" /><Relationship Type="http://schemas.openxmlformats.org/officeDocument/2006/relationships/hyperlink" Id="rId13" Target="https://en.wikipedia.org/wiki/Generalized_linear_model#:~:text=The%20linear%20predictor%20is%20the,data%20through%20the%20link%20function" TargetMode="External" /><Relationship Type="http://schemas.openxmlformats.org/officeDocument/2006/relationships/hyperlink" Id="rId68" Target="https://en.wikipedia.org/wiki/History_of_statistics#Development_of_modern_statistics" TargetMode="External" /><Relationship Type="http://schemas.openxmlformats.org/officeDocument/2006/relationships/hyperlink" Id="rId37" Target="https://en.wikipedia.org/wiki/Iverson_bracket" TargetMode="External" /><Relationship Type="http://schemas.openxmlformats.org/officeDocument/2006/relationships/hyperlink" Id="rId64" Target="https://en.wikipedia.org/wiki/Leibniz%27s_notation" TargetMode="External" /><Relationship Type="http://schemas.openxmlformats.org/officeDocument/2006/relationships/hyperlink" Id="rId67" Target="https://en.wikipedia.org/wiki/Notation_for_differentiation" TargetMode="External" /><Relationship Type="http://schemas.openxmlformats.org/officeDocument/2006/relationships/hyperlink" Id="rId27" Target="https://en.wikipedia.org/wiki/Percentage" TargetMode="External" /><Relationship Type="http://schemas.openxmlformats.org/officeDocument/2006/relationships/hyperlink" Id="rId69" Target="https://en.wikipedia.org/wiki/The_Structure_of_Scientific_Revolutions" TargetMode="External" /><Relationship Type="http://schemas.openxmlformats.org/officeDocument/2006/relationships/hyperlink" Id="rId10" Target="https://morrison-lab.github.io/pds/expectation.html#def-expectation" TargetMode="External" /><Relationship Type="http://schemas.openxmlformats.org/officeDocument/2006/relationships/hyperlink" Id="rId12" Target="https://morrison-lab.github.io/pds/independence.html#def-indpt" TargetMode="External" /><Relationship Type="http://schemas.openxmlformats.org/officeDocument/2006/relationships/hyperlink" Id="rId31" Target="https://morrison-lab.github.io/pds/random-variables.html#def-random-variable" TargetMode="External" /><Relationship Type="http://schemas.openxmlformats.org/officeDocument/2006/relationships/hyperlink" Id="rId15" Target="https://quarto.org/docs/authoring/markdown-basics.html#equations" TargetMode="External" /><Relationship Type="http://schemas.openxmlformats.org/officeDocument/2006/relationships/hyperlink" Id="rId73" Target="https://www.amazon.com/dp/1575866323" TargetMode="External" /><Relationship Type="http://schemas.openxmlformats.org/officeDocument/2006/relationships/hyperlink" Id="rId71" Target="sets-functions.qmd" TargetMode="External" /><Relationship Type="http://schemas.openxmlformats.org/officeDocument/2006/relationships/hyperlink" Id="rId54" Target="sets-functions.qmd#def-function" TargetMode="External" /><Relationship Type="http://schemas.openxmlformats.org/officeDocument/2006/relationships/hyperlink" Id="rId55" Target="sets-functions.qmd#def-image" TargetMode="External" /><Relationship Type="http://schemas.openxmlformats.org/officeDocument/2006/relationships/hyperlink" Id="rId56" Target="sets-functions.qmd#rem-image-rang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Notation</dc:title>
  <dc:creator/>
  <cp:keywords/>
  <dcterms:created xsi:type="dcterms:W3CDTF">2026-10-05T09:27:11Z</dcterms:created>
  <dcterms:modified xsi:type="dcterms:W3CDTF">2026-10-05T09:27:11Z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2026-10-05 02:18:43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