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2026-10-14 14:05:31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8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3"/>
    <w:bookmarkStart w:id="125" w:name="exm-paraboloid"/>
    <w:p>
      <w:pPr>
        <w:pStyle w:val="BodyText"/>
      </w:pPr>
      <w:r>
        <w:rPr>
          <w:b/>
          <w:bCs/>
        </w:rPr>
        <w:t xml:space="preserve">Example 30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4"/>
        </w:tc>
      </w:tr>
    </w:tbl>
    <w:bookmarkEnd w:id="125"/>
    <w:bookmarkStart w:id="126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6"/>
    <w:bookmarkStart w:id="127" w:name="exm-matrix-induced-inner-product"/>
    <w:p>
      <w:pPr>
        <w:pStyle w:val="FirstParagraph"/>
      </w:pPr>
      <w:r>
        <w:rPr>
          <w:b/>
          <w:bCs/>
        </w:rPr>
        <w:t xml:space="preserve">Example 31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7"/>
    <w:bookmarkStart w:id="132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8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9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0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1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4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matrix-induced-inner-product-axioms"/>
    <w:p>
      <w:pPr>
        <w:pStyle w:val="BodyText"/>
      </w:pPr>
      <w:r>
        <w:rPr>
          <w:b/>
          <w:bCs/>
        </w:rPr>
        <w:t xml:space="preserve">Example 32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5"/>
    <w:bookmarkStart w:id="137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6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7"/>
    <w:bookmarkEnd w:id="138"/>
    <w:bookmarkStart w:id="157" w:name="determinants"/>
    <w:p>
      <w:pPr>
        <w:pStyle w:val="Heading2"/>
      </w:pPr>
      <w:r>
        <w:t xml:space="preserve">6 Determinants</w:t>
      </w:r>
    </w:p>
    <w:bookmarkStart w:id="139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9"/>
    <w:bookmarkStart w:id="140" w:name="exm-determinant"/>
    <w:p>
      <w:pPr>
        <w:pStyle w:val="FirstParagraph"/>
      </w:pPr>
      <w:r>
        <w:rPr>
          <w:b/>
          <w:bCs/>
        </w:rPr>
        <w:t xml:space="preserve">Example 33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6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7" w:name="exm-det-diagonal"/>
    <w:p>
      <w:pPr>
        <w:pStyle w:val="FirstParagraph"/>
      </w:pPr>
      <w:r>
        <w:rPr>
          <w:b/>
          <w:bCs/>
        </w:rPr>
        <w:t xml:space="preserve">Example 34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bookmarkStart w:id="148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8"/>
    <w:bookmarkStart w:id="149" w:name="exm-det-product"/>
    <w:p>
      <w:pPr>
        <w:pStyle w:val="FirstParagraph"/>
      </w:pPr>
      <w:r>
        <w:rPr>
          <w:b/>
          <w:bCs/>
        </w:rPr>
        <w:t xml:space="preserve">Example 35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bookmarkStart w:id="150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0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1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34</w:t>
        </w:r>
      </w:hyperlink>
      <w:r>
        <w:t xml:space="preserve">.</w:t>
      </w:r>
    </w:p>
    <w:bookmarkStart w:id="152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3" w:name="exm-det-eigenvalues"/>
    <w:p>
      <w:pPr>
        <w:pStyle w:val="BodyText"/>
      </w:pPr>
      <w:r>
        <w:rPr>
          <w:b/>
          <w:bCs/>
        </w:rPr>
        <w:t xml:space="preserve">Example 36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53"/>
    <w:bookmarkStart w:id="156" w:name="refs"/>
    <w:bookmarkStart w:id="155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42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4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5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6" Target="linear-algebra-inner-products.html#def-cosine-similarity" TargetMode="External" /><Relationship Type="http://schemas.openxmlformats.org/officeDocument/2006/relationships/hyperlink" Id="rId128" Target="linear-algebra-inner-products.html#def-inner-product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30" Target="linear-algebra-inner-products.html#exm-dot-product-inner-product" TargetMode="External" /><Relationship Type="http://schemas.openxmlformats.org/officeDocument/2006/relationships/hyperlink" Id="rId131" Target="linear-algebra-inner-products.html#exm-weighted-inner-product" TargetMode="External" /><Relationship Type="http://schemas.openxmlformats.org/officeDocument/2006/relationships/hyperlink" Id="rId134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3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42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4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5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6" Target="linear-algebra-inner-products.html#def-cosine-similarity" TargetMode="External" /><Relationship Type="http://schemas.openxmlformats.org/officeDocument/2006/relationships/hyperlink" Id="rId128" Target="linear-algebra-inner-products.html#def-inner-product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30" Target="linear-algebra-inner-products.html#exm-dot-product-inner-product" TargetMode="External" /><Relationship Type="http://schemas.openxmlformats.org/officeDocument/2006/relationships/hyperlink" Id="rId131" Target="linear-algebra-inner-products.html#exm-weighted-inner-product" TargetMode="External" /><Relationship Type="http://schemas.openxmlformats.org/officeDocument/2006/relationships/hyperlink" Id="rId134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3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2026-10-14T21:43:05Z</dcterms:created>
  <dcterms:modified xsi:type="dcterms:W3CDTF">2026-10-14T21:43:05Z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