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23:45:57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00:29:52 (PDT)</w:t>
        </w:r>
      </w:ins>
    </w:p>
    <w:p>
      <w:pPr>
        <w:pStyle w:val="FirstParagraph"/>
      </w:pPr>
      <w:r>
        <w:t xml:space="preserve">Mathematical notation is not standardized.</w:t>
      </w:r>
      <w:r>
        <w:t xml:space="preserve"> </w:t>
      </w:r>
      <w:r>
        <w:t xml:space="preserve">This section states the conventions these notes use,</w:t>
      </w:r>
      <w:r>
        <w:t xml:space="preserve"> </w:t>
      </w:r>
      <w:r>
        <w:t xml:space="preserve">and the alternatives you may meet in other sources.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notation-collecte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used in this book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391"/>
              <w:gridCol w:w="5351"/>
              <w:gridCol w:w="117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¬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9">
                    <w:r>
                      <w:rPr>
                        <w:rStyle w:val="Hyperlink"/>
                      </w:rPr>
                      <w:t xml:space="preserve">not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\neg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∀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for all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\forall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∃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there exists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\exists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∪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union,</w:t>
                  </w:r>
                  <w:r>
                    <w:t xml:space="preserve"> </w:t>
                  </w:r>
                  <w:r>
                    <w:t xml:space="preserve">“or”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∩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intersection,</w:t>
                  </w:r>
                  <w:r>
                    <w:t xml:space="preserve"> </w:t>
                  </w:r>
                  <w:r>
                    <w:t xml:space="preserve">“and”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\cap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∣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given,</w:t>
                  </w:r>
                  <w:r>
                    <w:t xml:space="preserve"> </w:t>
                  </w:r>
                  <w:hyperlink r:id="rId11">
                    <w:r>
                      <w:rPr>
                        <w:rStyle w:val="Hyperlink"/>
                      </w:rPr>
                      <w:t xml:space="preserve">conditional 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\mid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|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sum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\sum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product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\prod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μ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 of a</w:t>
                  </w:r>
                  <w:r>
                    <w:t xml:space="preserve"> </w:t>
                  </w:r>
                  <w:hyperlink r:id="rId13">
                    <w:r>
                      <w:rPr>
                        <w:rStyle w:val="Hyperlink"/>
                      </w:rPr>
                      <w:t xml:space="preserve">random variable</w:t>
                    </w:r>
                  </w:hyperlink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\mu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E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4">
                    <w:r>
                      <w:rPr>
                        <w:rStyle w:val="Hyperlink"/>
                      </w:rPr>
                      <w:t xml:space="preserve">expectation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\mathbb{E}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x\'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′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transpose or</w:t>
                  </w:r>
                  <w:r>
                    <w:t xml:space="preserve"> </w:t>
                  </w:r>
                  <w:hyperlink r:id="rId15">
                    <w:r>
                      <w:rPr>
                        <w:rStyle w:val="Hyperlink"/>
                      </w:rPr>
                      <w:t xml:space="preserve">derivative</w:t>
                    </w:r>
                  </w:hyperlink>
                  <w:r>
                    <w:rPr>
                      <w:rStyle w:val="FootnoteReference"/>
                    </w:rPr>
                    <w:footnoteReference w:id="16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'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⟂</m:t>
                    </m:r>
                    <m:r>
                      <m:t>​</m:t>
                    </m:r>
                    <m:r>
                      <m:t>​</m:t>
                    </m:r>
                    <m:r>
                      <m:t>​</m:t>
                    </m:r>
                    <m:r>
                      <m:rPr>
                        <m:sty m:val="p"/>
                      </m:rPr>
                      <m:t>⟂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7">
                    <w:r>
                      <w:rPr>
                        <w:rStyle w:val="Hyperlink"/>
                      </w:rPr>
                      <w:t xml:space="preserve">independent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\perp\!\!\!\perp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∴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8">
                    <w:r>
                      <w:rPr>
                        <w:rStyle w:val="Hyperlink"/>
                      </w:rPr>
                      <w:t xml:space="preserve">therefore</w:t>
                    </w:r>
                  </w:hyperlink>
                  <w:r>
                    <w:t xml:space="preserve">, thus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\therefore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19">
                    <w:r>
                      <w:rPr>
                        <w:rStyle w:val="Hyperlink"/>
                      </w:rPr>
                      <w:t xml:space="preserve">linear predictor</w:t>
                    </w:r>
                  </w:hyperlink>
                  <w:r>
                    <w:t xml:space="preserve"> </w:t>
                  </w:r>
                  <w:r>
                    <w:t xml:space="preserve">of a generalized linear model</w:t>
                  </w:r>
                  <w:r>
                    <w:rPr>
                      <w:rStyle w:val="FootnoteReference"/>
                    </w:rPr>
                    <w:footnoteReference w:id="20"/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\eta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⌊"/>
                        <m:sepChr m:val=""/>
                        <m:endChr m:val="⌋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floor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largest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less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\lfloor x \rfloor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​</m:t>
                    </m:r>
                    <m:d>
                      <m:dPr>
                        <m:begChr m:val="⌈"/>
                        <m:sepChr m:val=""/>
                        <m:endChr m:val="⌉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ceiling of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: smallest</w:t>
                  </w:r>
                  <w:r>
                    <w:t xml:space="preserve"> </w:t>
                  </w:r>
                  <w:hyperlink w:anchor="def-integers">
                    <w:r>
                      <w:rPr>
                        <w:rStyle w:val="Hyperlink"/>
                      </w:rPr>
                      <w:t xml:space="preserve">integer</w:t>
                    </w:r>
                  </w:hyperlink>
                  <w:r>
                    <w:t xml:space="preserve"> </w:t>
                  </w:r>
                  <w:r>
                    <w:t xml:space="preserve">greater than or equal to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\lceil x \rceil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P</m:t>
                        </m:r>
                      </m:e>
                    </m:d>
                    <m:r>
                      <m:t>​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indicator function (</w:t>
                  </w:r>
                  <w:hyperlink w:anchor="sec-indicator-functions">
                    <w:r>
                      <w:rPr>
                        <w:rStyle w:val="Hyperlink"/>
                      </w:rPr>
                      <w:t xml:space="preserve">Section 5</w:t>
                    </w:r>
                  </w:hyperlink>
                  <w:r>
                    <w:t xml:space="preserve">):</w:t>
                  </w:r>
                  <w:r>
                    <w:t xml:space="preserve"> </w:t>
                  </w:r>
                  <m:oMath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condition holds,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otherwise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\indic{A}(x)</w:t>
                  </w:r>
                  <w:r>
                    <w:t xml:space="preserve">,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\indicp{P}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The links for conditioning, random variables, expectation, and independence</w:t>
      </w:r>
      <w:r>
        <w:t xml:space="preserve"> </w:t>
      </w:r>
      <w:r>
        <w:t xml:space="preserve">go to the Morrison Lab’s probability notes,</w:t>
      </w:r>
      <w:r>
        <w:t xml:space="preserve"> </w:t>
      </w:r>
      <w:r>
        <w:t xml:space="preserve">which define those terms.</w:t>
      </w:r>
    </w:p>
    <w:bookmarkStart w:id="24" w:name="sec-writing-math-quarto"/>
    <w:p>
      <w:pPr>
        <w:pStyle w:val="Heading2"/>
      </w:pPr>
      <w:r>
        <w:t xml:space="preserve">1 Writing math in Quarto</w:t>
      </w:r>
    </w:p>
    <w:p>
      <w:pPr>
        <w:pStyle w:val="FirstParagraph"/>
      </w:pPr>
      <w:r>
        <w:t xml:space="preserve">The third column of</w:t>
      </w:r>
      <w:r>
        <w:t xml:space="preserve"> </w:t>
      </w:r>
      <w:hyperlink w:anchor="tbl-notation-collecte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gives the LaTeX command for each symbol.</w:t>
      </w:r>
      <w:r>
        <w:t xml:space="preserve"> </w:t>
      </w:r>
      <w:r>
        <w:t xml:space="preserve">Quarto and R Markdown documents write math in LaTeX syntax:</w:t>
      </w:r>
      <w:r>
        <w:t xml:space="preserve"> </w:t>
      </w:r>
      <w:r>
        <w:t xml:space="preserve">put inline math between single dollar signs, as in</w:t>
      </w:r>
      <w:r>
        <w:t xml:space="preserve"> </w:t>
      </w:r>
      <w:r>
        <w:rPr>
          <w:rStyle w:val="VerbatimChar"/>
        </w:rPr>
        <w:t xml:space="preserve">$x^2$</w:t>
      </w:r>
      <w:r>
        <w:t xml:space="preserve">,</w:t>
      </w:r>
      <w:r>
        <w:t xml:space="preserve"> </w:t>
      </w:r>
      <w:r>
        <w:t xml:space="preserve">and displayed equations between double dollar signs, as in</w:t>
      </w:r>
      <w:r>
        <w:t xml:space="preserve"> </w:t>
      </w:r>
      <w:r>
        <w:rPr>
          <w:rStyle w:val="VerbatimChar"/>
        </w:rPr>
        <w:t xml:space="preserve">$$x^2$$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equations section of Quarto’s Markdown guide</w:t>
        </w:r>
      </w:hyperlink>
      <w:r>
        <w:t xml:space="preserve"> </w:t>
      </w:r>
      <w:r>
        <w:t xml:space="preserve">shows the details.</w:t>
      </w:r>
      <w:r>
        <w:t xml:space="preserve"> </w:t>
      </w:r>
      <w:r>
        <w:t xml:space="preserve">These notes also use shorthand macros,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\floor{x}</w:t>
      </w:r>
      <w:r>
        <w:t xml:space="preserve"> </w:t>
      </w:r>
      <w:r>
        <w:t xml:space="preserve">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defined in the</w:t>
      </w:r>
      <w:r>
        <w:t xml:space="preserve"> </w:t>
      </w:r>
      <w:r>
        <w:rPr>
          <w:rStyle w:val="VerbatimChar"/>
        </w:rPr>
        <w:t xml:space="preserve">latex-macros</w:t>
      </w:r>
      <w:r>
        <w:t xml:space="preserve"> </w:t>
      </w:r>
      <w:r>
        <w:t xml:space="preserve">submodule’s</w:t>
      </w:r>
      <w:r>
        <w:t xml:space="preserve"> </w:t>
      </w:r>
      <w:r>
        <w:rPr>
          <w:rStyle w:val="VerbatimChar"/>
        </w:rPr>
        <w:t xml:space="preserve">macros.qmd</w:t>
      </w:r>
      <w:r>
        <w:t xml:space="preserve">.</w:t>
      </w:r>
    </w:p>
    <w:bookmarkEnd w:id="24"/>
    <w:bookmarkStart w:id="38" w:name="sec-notation-naturals"/>
    <w:p>
      <w:pPr>
        <w:pStyle w:val="Heading2"/>
      </w:pPr>
      <w:r>
        <w:t xml:space="preserve">2 Natural numbers</w:t>
      </w:r>
    </w:p>
    <w:bookmarkStart w:id="25" w:name="exr-naturals-below-three"/>
    <w:p>
      <w:pPr>
        <w:pStyle w:val="FirstParagraph"/>
      </w:pPr>
      <w:r>
        <w:rPr>
          <w:b/>
          <w:bCs/>
        </w:rPr>
        <w:t xml:space="preserve">Exercise 1 (Which numbers are natural?)</w:t>
      </w:r>
      <w:r>
        <w:t xml:space="preserve"> </w:t>
      </w:r>
      <w:r>
        <w:t xml:space="preserve">List the elements of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N</m:t>
            </m:r>
            <m:r>
              <m:rPr>
                <m:sty m:val="p"/>
              </m:rPr>
              <m:t>:</m:t>
            </m:r>
            <m:r>
              <m:t>n</m:t>
            </m:r>
            <m:r>
              <m:rPr>
                <m:sty m:val="p"/>
              </m:rPr>
              <m:t>&lt;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Is your answer the same in every textbook?</w:t>
      </w:r>
    </w:p>
    <w:bookmarkEnd w:id="25"/>
    <w:bookmarkStart w:id="26" w:name="sol-naturals-below-thre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answer depends on whether the source counts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 a natural number: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0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starts at</w:t>
      </w:r>
      <w:r>
        <w:t xml:space="preserve"> </w:t>
      </w:r>
      <m:oMath>
        <m:r>
          <m:t>1</m:t>
        </m:r>
      </m:oMath>
      <w:r>
        <w:t xml:space="preserve">, the set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Both conventions are in common use,</w:t>
      </w:r>
      <w:r>
        <w:t xml:space="preserve"> </w:t>
      </w:r>
      <w:r>
        <w:t xml:space="preserve">so the answer is not the same in every textbook.</w:t>
      </w:r>
    </w:p>
    <w:bookmarkEnd w:id="26"/>
    <w:bookmarkStart w:id="27" w:name="def-integers"/>
    <w:p>
      <w:pPr>
        <w:pStyle w:val="BodyText"/>
      </w:pPr>
      <w:r>
        <w:rPr>
          <w:b/>
          <w:bCs/>
        </w:rPr>
        <w:t xml:space="preserve">Definition 1 (Integers)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integers</w:t>
      </w:r>
      <w:r>
        <w:t xml:space="preserve"> </w:t>
      </w:r>
      <w:r>
        <w:t xml:space="preserve">are the whole numbers,</w:t>
      </w:r>
      <w:r>
        <w:t xml:space="preserve"> </w:t>
      </w:r>
      <w:r>
        <w:t xml:space="preserve">together with their negatives and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integer</w:t>
      </w:r>
      <w:r>
        <w:t xml:space="preserve"> </w:t>
      </w:r>
      <w:r>
        <w:t xml:space="preserve">is an element of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.</w:t>
      </w:r>
      <w:r>
        <w:t xml:space="preserve"> </w:t>
      </w:r>
      <w:r>
        <w:t xml:space="preserve">The integers greater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positive integers</w:t>
      </w:r>
      <w:r>
        <w:t xml:space="preserve">,</w:t>
      </w:r>
      <w:r>
        <w:t xml:space="preserve"> </w:t>
      </w:r>
      <w:r>
        <w:t xml:space="preserve">and the integers less than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negative integers</w:t>
      </w:r>
      <w:r>
        <w:t xml:space="preserve">.</w:t>
      </w:r>
    </w:p>
    <w:bookmarkEnd w:id="27"/>
    <w:bookmarkStart w:id="28" w:name="exm-integers"/>
    <w:p>
      <w:pPr>
        <w:pStyle w:val="BodyText"/>
      </w:pPr>
      <w:r>
        <w:rPr>
          <w:b/>
          <w:bCs/>
        </w:rPr>
        <w:t xml:space="preserve">Example 1 (Integers and non-integers)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−</m:t>
        </m:r>
        <m:r>
          <m:t>7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are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2.5</m:t>
        </m:r>
      </m:oMath>
      <w:r>
        <w:t xml:space="preserve"> </w:t>
      </w:r>
      <w:r>
        <w:t xml:space="preserve">are not integers.</w:t>
      </w:r>
    </w:p>
    <w:p>
      <w:pPr>
        <w:pStyle w:val="Compact"/>
        <w:numPr>
          <w:ilvl w:val="0"/>
          <w:numId w:val="1002"/>
        </w:numPr>
      </w:pP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is an integer, because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8"/>
    <w:bookmarkStart w:id="29" w:name="def-even-odd"/>
    <w:p>
      <w:pPr>
        <w:pStyle w:val="FirstParagraph"/>
      </w:pPr>
      <w:r>
        <w:rPr>
          <w:b/>
          <w:bCs/>
        </w:rPr>
        <w:t xml:space="preserve">Definition 2 (Even and odd integers)</w:t>
      </w:r>
      <w:r>
        <w:t xml:space="preserve"> </w:t>
      </w:r>
      <w:r>
        <w:t xml:space="preserve">An integer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even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odd</w:t>
      </w:r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bookmarkEnd w:id="29"/>
    <w:bookmarkStart w:id="30" w:name="exm-even-odd"/>
    <w:p>
      <w:pPr>
        <w:pStyle w:val="BodyText"/>
      </w:pPr>
      <w:r>
        <w:rPr>
          <w:b/>
          <w:bCs/>
        </w:rPr>
        <w:t xml:space="preserve">Example 2 (Even and odd integers)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6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0</m:t>
        </m:r>
      </m:oMath>
      <w:r>
        <w:t xml:space="preserve"> </w:t>
      </w:r>
      <w:r>
        <w:t xml:space="preserve">is even, because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7</m:t>
        </m:r>
      </m:oMath>
      <w:r>
        <w:t xml:space="preserve"> </w:t>
      </w:r>
      <w:r>
        <w:t xml:space="preserve">is odd, because</w:t>
      </w:r>
      <w:r>
        <w:t xml:space="preserve"> </w:t>
      </w:r>
      <m:oMath>
        <m:r>
          <m:t>7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2.5</m:t>
        </m:r>
      </m:oMath>
      <w:r>
        <w:t xml:space="preserve"> </w:t>
      </w:r>
      <w:r>
        <w:t xml:space="preserve">is neither even nor odd, because it is not an integer.</w:t>
      </w:r>
    </w:p>
    <w:bookmarkEnd w:id="30"/>
    <w:bookmarkStart w:id="31" w:name="def-natural-numbers"/>
    <w:p>
      <w:pPr>
        <w:pStyle w:val="FirstParagraph"/>
      </w:pPr>
      <w:r>
        <w:rPr>
          <w:b/>
          <w:bCs/>
        </w:rPr>
        <w:t xml:space="preserve">Definition 3 (Natural numbers (our convention))</w:t>
      </w:r>
      <w:r>
        <w:t xml:space="preserve"> </w:t>
      </w:r>
      <w:r>
        <w:t xml:space="preserve">In these notes, the</w:t>
      </w:r>
      <w:r>
        <w:t xml:space="preserve"> </w:t>
      </w:r>
      <w:r>
        <w:rPr>
          <w:b/>
          <w:bCs/>
        </w:rPr>
        <w:t xml:space="preserve">natural numbers</w:t>
      </w:r>
      <w:r>
        <w:t xml:space="preserve"> </w:t>
      </w:r>
      <w:r>
        <w:t xml:space="preserve">are the positive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</m:oMath>
      </m:oMathPara>
    </w:p>
    <w:bookmarkEnd w:id="31"/>
    <w:bookmarkStart w:id="32" w:name="def-nonnegative-integers"/>
    <w:p>
      <w:pPr>
        <w:pStyle w:val="FirstParagraph"/>
      </w:pPr>
      <w:r>
        <w:rPr>
          <w:b/>
          <w:bCs/>
        </w:rPr>
        <w:t xml:space="preserve">Definition 4 (Non-negative integers)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non-negative integers</w:t>
      </w:r>
      <w:r>
        <w:t xml:space="preserve"> </w:t>
      </w:r>
      <w:r>
        <w:t xml:space="preserve">are the natural numbers (</w:t>
      </w:r>
      <w:hyperlink w:anchor="def-natural-numbers">
        <w:r>
          <w:rPr>
            <w:rStyle w:val="Hyperlink"/>
          </w:rPr>
          <w:t xml:space="preserve">Definition 3</w:t>
        </w:r>
      </w:hyperlink>
      <w:r>
        <w:t xml:space="preserve">) together with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N</m:t>
              </m:r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</m:e>
          </m:d>
          <m:r>
            <m:t>​</m:t>
          </m:r>
        </m:oMath>
      </m:oMathPara>
    </w:p>
    <w:bookmarkEnd w:id="32"/>
    <w:bookmarkStart w:id="33" w:name="exm-natural-numbers"/>
    <w:p>
      <w:pPr>
        <w:pStyle w:val="FirstParagraph"/>
      </w:pPr>
      <w:r>
        <w:rPr>
          <w:b/>
          <w:bCs/>
        </w:rPr>
        <w:t xml:space="preserve">Example 3 (Natural numbers in a data analysis)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Observation indices start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we write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 count outcome, such as the number of hospital visits in a year,</w:t>
      </w:r>
      <w:r>
        <w:t xml:space="preserve"> </w:t>
      </w:r>
      <w:r>
        <w:t xml:space="preserve">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set of values it can take 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, not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Other conventions for the natural numbers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Other sources may define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differently,</w:t>
            </w:r>
            <w:r>
              <w:t xml:space="preserve"> </w:t>
            </w:r>
            <w:r>
              <w:t xml:space="preserve">so check each source’s definition before reading its formulas: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Many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international standard ISO 80000-2 defines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to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continuing the earlier standard ISO 31-11 (1978).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Other sources start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N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as these notes do.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To remove the ambiguity,</w:t>
            </w:r>
            <w:r>
              <w:t xml:space="preserve"> </w:t>
            </w:r>
            <w:r>
              <w:t xml:space="preserve">some sources write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rPr>
                      <m:scr m:val="double-struck"/>
                      <m:sty m:val="p"/>
                    </m:rPr>
                    <m:t>N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Z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The words vary too.</w:t>
            </w:r>
            <w:r>
              <w:t xml:space="preserve"> </w:t>
            </w:r>
            <w:r>
              <w:t xml:space="preserve">“Positive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“non-negative integers”</w:t>
            </w:r>
            <w:r>
              <w:t xml:space="preserve"> </w:t>
            </w:r>
            <w:r>
              <w:t xml:space="preserve">(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are unambiguous.</w:t>
            </w:r>
            <w:r>
              <w:t xml:space="preserve"> </w:t>
            </w:r>
            <w:r>
              <w:t xml:space="preserve">“Whole numbers”</w:t>
            </w:r>
            <w:r>
              <w:t xml:space="preserve"> </w:t>
            </w:r>
            <w:r>
              <w:t xml:space="preserve">usually includes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can also mean all of the integers, negative ones included.</w:t>
            </w:r>
            <w:r>
              <w:t xml:space="preserve"> </w:t>
            </w:r>
            <w:r>
              <w:t xml:space="preserve">“Counting numbers”</w:t>
            </w:r>
            <w:r>
              <w:t xml:space="preserve"> </w:t>
            </w:r>
            <w:r>
              <w:t xml:space="preserve">usually starts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some sources include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Some older texts write</w:t>
            </w:r>
            <w:r>
              <w:t xml:space="preserve"> </w:t>
            </w:r>
            <m:oMath>
              <m:r>
                <m:t>J</m:t>
              </m:r>
            </m:oMath>
            <w:r>
              <w:t xml:space="preserve"> </w:t>
            </w:r>
            <w:r>
              <w:t xml:space="preserve">for the natural numbers.</w:t>
            </w:r>
          </w:p>
          <w:p>
            <w:pPr>
              <w:pStyle w:val="FirstParagraph"/>
            </w:pPr>
            <w:r>
              <w:t xml:space="preserve">When a formula’s meaning depends on whether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is included,</w:t>
            </w:r>
            <w:r>
              <w:t xml:space="preserve"> </w:t>
            </w:r>
            <w:r>
              <w:t xml:space="preserve">we write the set out explicitly,</w:t>
            </w:r>
            <w:r>
              <w:t xml:space="preserve"> </w:t>
            </w:r>
            <w:r>
              <w:t xml:space="preserve">for example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Source:</w:t>
            </w:r>
            <w:r>
              <w:t xml:space="preserve"> </w:t>
            </w:r>
            <w:hyperlink r:id="rId37">
              <w:r>
                <w:rPr>
                  <w:rStyle w:val="Hyperlink"/>
                </w:rPr>
                <w:t xml:space="preserve">Wikipedia,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“Natural number”</w:t>
              </w:r>
              <w:r>
                <w:rPr>
                  <w:rStyle w:val="Hyperlink"/>
                </w:rPr>
                <w:t xml:space="preserve">,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“Terminology and notation”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and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“Zero as natural number”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cites ISO 80000-2:2019 and the textbooks using each notation.</w:t>
            </w:r>
          </w:p>
          <w:p/>
        </w:tc>
      </w:tr>
    </w:tbl>
    <w:bookmarkEnd w:id="38"/>
    <w:bookmarkStart w:id="49" w:name="sec-notation-reals"/>
    <w:p>
      <w:pPr>
        <w:pStyle w:val="Heading2"/>
      </w:pPr>
      <w:r>
        <w:t xml:space="preserve">3 Rational, real, and irrational numbers</w:t>
      </w:r>
    </w:p>
    <w:bookmarkStart w:id="39" w:name="def-rational-numbers"/>
    <w:p>
      <w:pPr>
        <w:pStyle w:val="FirstParagraph"/>
      </w:pPr>
      <w:r>
        <w:rPr>
          <w:b/>
          <w:bCs/>
        </w:rPr>
        <w:t xml:space="preserve">Definition 5 (Rational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rational number</w:t>
      </w:r>
      <w:r>
        <w:t xml:space="preserve"> </w:t>
      </w:r>
      <w:r>
        <w:t xml:space="preserve">is a number that can be written as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integers (</w:t>
      </w:r>
      <w:hyperlink w:anchor="def-integers">
        <w:r>
          <w:rPr>
            <w:rStyle w:val="Hyperlink"/>
          </w:rPr>
          <w:t xml:space="preserve">Definition 1</w:t>
        </w:r>
      </w:hyperlink>
      <w:r>
        <w:t xml:space="preserve">) 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set of rational numbers is written</w:t>
      </w:r>
      <w:r>
        <w:t xml:space="preserve"> </w:t>
      </w:r>
      <m:oMath>
        <m:r>
          <m:rPr>
            <m:scr m:val="double-struck"/>
            <m:sty m:val="p"/>
          </m:rP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Q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b</m:t>
              </m:r>
              <m:r>
                <m:rPr>
                  <m:sty m:val="p"/>
                </m:rPr>
                <m:t>≠</m:t>
              </m:r>
              <m:r>
                <m:t>0</m:t>
              </m:r>
            </m:e>
          </m:d>
          <m:r>
            <m:t>​</m:t>
          </m:r>
        </m:oMath>
      </m:oMathPara>
    </w:p>
    <w:bookmarkEnd w:id="39"/>
    <w:bookmarkStart w:id="40" w:name="exm-rational-numbers"/>
    <w:p>
      <w:pPr>
        <w:pStyle w:val="FirstParagraph"/>
      </w:pPr>
      <w:r>
        <w:rPr>
          <w:b/>
          <w:bCs/>
        </w:rPr>
        <w:t xml:space="preserve">Example 4 (Rational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is rational,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0.75</m:t>
        </m:r>
      </m:oMath>
      <w:r>
        <w:t xml:space="preserve"> </w:t>
      </w:r>
      <w:r>
        <w:t xml:space="preserve">is rational, because</w:t>
      </w:r>
      <w:r>
        <w:t xml:space="preserve"> </w:t>
      </w:r>
      <m:oMath>
        <m:r>
          <m:t>0.75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Every integer is rational: for example,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5</m:t>
            </m:r>
          </m:num>
          <m:den>
            <m:r>
              <m:t>1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0.333</m:t>
        </m:r>
        <m:r>
          <m:rPr>
            <m:sty m:val="p"/>
          </m:rPr>
          <m:t>…</m:t>
        </m:r>
      </m:oMath>
      <w:r>
        <w:t xml:space="preserve">, with the</w:t>
      </w:r>
      <w:r>
        <w:t xml:space="preserve"> </w:t>
      </w:r>
      <m:oMath>
        <m:r>
          <m:t>3</m:t>
        </m:r>
      </m:oMath>
      <w:r>
        <w:t xml:space="preserve">s repeating forever, is rational,</w:t>
      </w:r>
      <w:r>
        <w:t xml:space="preserve"> </w:t>
      </w:r>
      <w:r>
        <w:t xml:space="preserve">because</w:t>
      </w:r>
      <w:r>
        <w:t xml:space="preserve"> </w:t>
      </w:r>
      <m:oMath>
        <m:r>
          <m:t>0.333</m:t>
        </m:r>
        <m:r>
          <m:rPr>
            <m:sty m:val="p"/>
          </m:rPr>
          <m:t>…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40"/>
    <w:bookmarkStart w:id="41" w:name="def-real-numbers"/>
    <w:p>
      <w:pPr>
        <w:pStyle w:val="FirstParagraph"/>
      </w:pPr>
      <w:r>
        <w:rPr>
          <w:b/>
          <w:bCs/>
        </w:rPr>
        <w:t xml:space="preserve">Definition 6 (Real numbers)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number</w:t>
      </w:r>
      <w:r>
        <w:t xml:space="preserve"> </w:t>
      </w:r>
      <w:r>
        <w:t xml:space="preserve">is a number that can be written as a decimal expansion:</w:t>
      </w:r>
      <w:r>
        <w:t xml:space="preserve"> </w:t>
      </w:r>
      <w:r>
        <w:t xml:space="preserve">an integer part, followed by a decimal point</w:t>
      </w:r>
      <w:r>
        <w:t xml:space="preserve"> </w:t>
      </w:r>
      <w:r>
        <w:t xml:space="preserve">and a finite or infinite list of decimal places after it.</w:t>
      </w:r>
      <w:r>
        <w:t xml:space="preserve"> </w:t>
      </w:r>
      <w:r>
        <w:t xml:space="preserve">Equivalently, the real numbers are the points on the number line.</w:t>
      </w:r>
      <w:r>
        <w:t xml:space="preserve"> </w:t>
      </w:r>
      <w:r>
        <w:t xml:space="preserve">The set of real numbers is written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1"/>
    <w:bookmarkStart w:id="42" w:name="rem-real-numbers-working-definition"/>
    <w:p>
      <w:pPr>
        <w:pStyle w:val="BodyText"/>
      </w:pPr>
      <w:r>
        <w:rPr>
          <w:i/>
          <w:iCs/>
        </w:rPr>
        <w:t xml:space="preserve">Remark 1</w:t>
      </w:r>
      <w:r>
        <w:t xml:space="preserve"> (A working definition). 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a working definition, not a construction:</w:t>
      </w:r>
      <w:r>
        <w:t xml:space="preserve"> </w:t>
      </w:r>
      <w:r>
        <w:t xml:space="preserve">it does not say what an infinite decimal expansion is,</w:t>
      </w:r>
      <w:r>
        <w:t xml:space="preserve"> </w:t>
      </w:r>
      <w:r>
        <w:t xml:space="preserve">or how to add or multiply two of them.</w:t>
      </w:r>
      <w:r>
        <w:t xml:space="preserve"> </w:t>
      </w:r>
      <w:r>
        <w:t xml:space="preserve">Rudin (1976, Appendix to Chapter 1)</w:t>
      </w:r>
      <w:r>
        <w:t xml:space="preserve"> </w:t>
      </w:r>
      <w:r>
        <w:t xml:space="preserve">constructs the real numbers rigorously.</w:t>
      </w:r>
      <w:r>
        <w:t xml:space="preserve"> </w:t>
      </w:r>
      <w:r>
        <w:t xml:space="preserve">Some real numbers have two decimal expansions:</w:t>
      </w:r>
      <w:r>
        <w:t xml:space="preserve"> </w:t>
      </w:r>
      <w:r>
        <w:t xml:space="preserve">for example,</w:t>
      </w:r>
      <w:r>
        <w:t xml:space="preserve"> </w:t>
      </w:r>
      <m:oMath>
        <m:r>
          <m:t>0.999</m:t>
        </m:r>
        <m:r>
          <m:rPr>
            <m:sty m:val="p"/>
          </m:rPr>
          <m:t>…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1.000</m:t>
        </m:r>
        <m:r>
          <m:rPr>
            <m:sty m:val="p"/>
          </m:rPr>
          <m:t>…</m:t>
        </m:r>
      </m:oMath>
      <w:r>
        <w:t xml:space="preserve"> </w:t>
      </w:r>
      <w:r>
        <w:t xml:space="preserve">are the same real number,</w:t>
      </w:r>
      <w:r>
        <w:t xml:space="preserve"> </w:t>
      </w:r>
      <m:oMath>
        <m:r>
          <m:t>1</m:t>
        </m:r>
      </m:oMath>
      <w:r>
        <w:t xml:space="preserve">.</w:t>
      </w:r>
    </w:p>
    <w:bookmarkEnd w:id="42"/>
    <w:bookmarkStart w:id="43" w:name="exm-real-numbers"/>
    <w:p>
      <w:pPr>
        <w:pStyle w:val="BodyText"/>
      </w:pPr>
      <w:r>
        <w:rPr>
          <w:b/>
          <w:bCs/>
        </w:rPr>
        <w:t xml:space="preserve">Example 5 (Real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0.5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0.333</m:t>
        </m:r>
        <m:r>
          <m:rPr>
            <m:sty m:val="p"/>
          </m:rPr>
          <m:t>…</m:t>
        </m:r>
      </m:oMath>
      <w:r>
        <w:t xml:space="preserve"> </w:t>
      </w:r>
      <w:r>
        <w:t xml:space="preserve">are real numbers.</w:t>
      </w:r>
    </w:p>
    <w:p>
      <w:pPr>
        <w:pStyle w:val="Compact"/>
        <w:numPr>
          <w:ilvl w:val="0"/>
          <w:numId w:val="1007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a real number.</w:t>
      </w:r>
    </w:p>
    <w:p>
      <w:pPr>
        <w:pStyle w:val="Compact"/>
        <w:numPr>
          <w:ilvl w:val="0"/>
          <w:numId w:val="1007"/>
        </w:numPr>
      </w:pPr>
      <w:r>
        <w:t xml:space="preserve">Every rational number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 is a real number,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Q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43"/>
    <w:bookmarkStart w:id="44" w:name="def-irrational-numbers"/>
    <w:p>
      <w:pPr>
        <w:pStyle w:val="FirstParagraph"/>
      </w:pPr>
      <w:r>
        <w:rPr>
          <w:b/>
          <w:bCs/>
        </w:rPr>
        <w:t xml:space="preserve">Definition 7 (Irrational numbers)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irrational number</w:t>
      </w:r>
      <w:r>
        <w:t xml:space="preserve"> </w:t>
      </w:r>
      <w:r>
        <w:t xml:space="preserve">is a real number (</w:t>
      </w:r>
      <w:hyperlink w:anchor="def-real-numbers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that is not rational (</w:t>
      </w:r>
      <w:hyperlink w:anchor="def-rational-numbers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4"/>
    <w:bookmarkStart w:id="48" w:name="exm-irrational-numbers"/>
    <w:p>
      <w:pPr>
        <w:pStyle w:val="BodyText"/>
      </w:pPr>
      <w:r>
        <w:rPr>
          <w:b/>
          <w:bCs/>
        </w:rPr>
        <w:t xml:space="preserve">Example 6 (Irrational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=</m:t>
        </m:r>
        <m:r>
          <m:t>1.41421</m:t>
        </m:r>
        <m:r>
          <m:rPr>
            <m:sty m:val="p"/>
          </m:rPr>
          <m:t>…</m:t>
        </m:r>
      </m:oMath>
      <w:r>
        <w:t xml:space="preserve">, the</w:t>
      </w:r>
      <w:r>
        <w:t xml:space="preserve"> </w:t>
      </w:r>
      <w:hyperlink r:id="rId45">
        <w:r>
          <w:rPr>
            <w:rStyle w:val="Hyperlink"/>
          </w:rPr>
          <w:t xml:space="preserve">square root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2</m:t>
        </m:r>
      </m:oMath>
      <w:r>
        <w:t xml:space="preserve">, is irrational:</w:t>
      </w:r>
      <w:r>
        <w:t xml:space="preserve"> </w:t>
      </w:r>
      <w:r>
        <w:t xml:space="preserve">no fraction of integers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squares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(see</w:t>
      </w:r>
      <w:r>
        <w:t xml:space="preserve"> </w:t>
      </w:r>
      <w:hyperlink r:id="rId46">
        <w:r>
          <w:rPr>
            <w:rStyle w:val="Hyperlink"/>
          </w:rPr>
          <w:t xml:space="preserve">Wikipedia: Square root of 2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π</m:t>
        </m:r>
        <m:r>
          <m:rPr>
            <m:sty m:val="p"/>
          </m:rPr>
          <m:t>=</m:t>
        </m:r>
        <m:r>
          <m:t>3.14159</m:t>
        </m:r>
        <m:r>
          <m:rPr>
            <m:sty m:val="p"/>
          </m:rPr>
          <m:t>…</m:t>
        </m:r>
      </m:oMath>
      <w:r>
        <w:t xml:space="preserve"> </w:t>
      </w:r>
      <w:r>
        <w:t xml:space="preserve">is irrational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Wikipedia: Proof that</w:t>
        </w:r>
        <w:r>
          <w:rPr>
            <w:rStyle w:val="Hyperlink"/>
          </w:rPr>
          <w:t xml:space="preserve"> </w:t>
        </w:r>
        <m:oMath>
          <m:r>
            <m:t>π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 irrational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1.5</m:t>
        </m:r>
      </m:oMath>
      <w:r>
        <w:t xml:space="preserve"> </w:t>
      </w:r>
      <w:r>
        <w:t xml:space="preserve">is not irrational, because</w:t>
      </w:r>
      <w:r>
        <w:t xml:space="preserve"> </w:t>
      </w:r>
      <m:oMath>
        <m:r>
          <m:t>1.5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rational.</w:t>
      </w:r>
    </w:p>
    <w:bookmarkEnd w:id="48"/>
    <w:bookmarkEnd w:id="49"/>
    <w:bookmarkStart w:id="53" w:name="percent-sign"/>
    <w:p>
      <w:pPr>
        <w:pStyle w:val="Heading2"/>
      </w:pPr>
      <w:r>
        <w:t xml:space="preserve">4 Percent sign (</w:t>
      </w:r>
      <w:r>
        <w:t xml:space="preserve">“%”</w:t>
      </w:r>
      <w:r>
        <w:t xml:space="preserve">)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50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51" w:name="def-percent"/>
    <w:p>
      <w:pPr>
        <w:pStyle w:val="BodyText"/>
      </w:pPr>
      <w:r>
        <w:rPr>
          <w:b/>
          <w:bCs/>
        </w:rPr>
        <w:t xml:space="preserve">Definition 8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51"/>
    <w:bookmarkStart w:id="52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52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53"/>
    <w:bookmarkStart w:id="93" w:name="sec-indicator-functions"/>
    <w:p>
      <w:pPr>
        <w:pStyle w:val="Heading2"/>
      </w:pPr>
      <w:r>
        <w:t xml:space="preserve">5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9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);</w:t>
      </w:r>
    </w:p>
    <w:p>
      <w:pPr>
        <w:pStyle w:val="Compact"/>
        <w:numPr>
          <w:ilvl w:val="0"/>
          <w:numId w:val="1009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9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9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54" w:name="def-indicator-function"/>
    <w:p>
      <w:pPr>
        <w:pStyle w:val="BodyText"/>
      </w:pPr>
      <w:r>
        <w:rPr>
          <w:b/>
          <w:bCs/>
        </w:rPr>
        <w:t xml:space="preserve">Definition 9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54"/>
    <w:bookmarkStart w:id="55" w:name="def-predicate-indicator"/>
    <w:p>
      <w:pPr>
        <w:pStyle w:val="FirstParagraph"/>
      </w:pPr>
      <w:r>
        <w:rPr>
          <w:b/>
          <w:bCs/>
        </w:rPr>
        <w:t xml:space="preserve">Definition 10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55"/>
    <w:bookmarkStart w:id="56" w:name="exm-indicator-numerical"/>
    <w:p>
      <w:pPr>
        <w:pStyle w:val="FirstParagraph"/>
      </w:pPr>
      <w:r>
        <w:rPr>
          <w:b/>
          <w:bCs/>
        </w:rPr>
        <w:t xml:space="preserve">Example 8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10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6"/>
    <w:bookmarkStart w:id="57" w:name="def-binary-variable"/>
    <w:p>
      <w:pPr>
        <w:pStyle w:val="FirstParagraph"/>
      </w:pPr>
      <w:r>
        <w:rPr>
          <w:b/>
          <w:bCs/>
        </w:rPr>
        <w:t xml:space="preserve">Definition 11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57"/>
    <w:bookmarkStart w:id="58" w:name="exm-binary-variable"/>
    <w:p>
      <w:pPr>
        <w:pStyle w:val="BodyText"/>
      </w:pPr>
      <w:r>
        <w:rPr>
          <w:b/>
          <w:bCs/>
        </w:rPr>
        <w:t xml:space="preserve">Example 9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8"/>
    <w:bookmarkStart w:id="68" w:name="X156504d913efc1f49ad7c2e43ace68824d2fb5d"/>
    <w:p>
      <w:pPr>
        <w:pStyle w:val="Heading3"/>
      </w:pPr>
      <w:r>
        <w:t xml:space="preserve">5.1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60" w:name="def-set-predicate-notation"/>
    <w:p>
      <w:pPr>
        <w:pStyle w:val="BodyText"/>
      </w:pPr>
      <w:r>
        <w:rPr>
          <w:b/>
          <w:bCs/>
        </w:rPr>
        <w:t xml:space="preserve">Definition 12 (Set notation and 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60"/>
    <w:bookmarkStart w:id="61" w:name="exm-set-predicate-notation"/>
    <w:p>
      <w:pPr>
        <w:pStyle w:val="BodyText"/>
      </w:pPr>
      <w:r>
        <w:rPr>
          <w:b/>
          <w:bCs/>
        </w:rPr>
        <w:t xml:space="preserve">Example 10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61"/>
    <w:bookmarkStart w:id="62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13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62"/>
    <w:bookmarkStart w:id="64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14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14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63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64"/>
    <w:bookmarkStart w:id="67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65" w:name="def-support"/>
    <w:p>
      <w:pPr>
        <w:pStyle w:val="FirstParagraph"/>
      </w:pPr>
      <w:r>
        <w:rPr>
          <w:b/>
          <w:bCs/>
        </w:rPr>
        <w:t xml:space="preserve">Definition 13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65"/>
    <w:bookmarkStart w:id="66" w:name="exm-support"/>
    <w:p>
      <w:pPr>
        <w:pStyle w:val="BodyText"/>
      </w:pPr>
      <w:r>
        <w:rPr>
          <w:b/>
          <w:bCs/>
        </w:rPr>
        <w:t xml:space="preserve">Example 11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67"/>
    <w:bookmarkEnd w:id="68"/>
    <w:bookmarkStart w:id="75" w:name="iverson-bracket-notation"/>
    <w:p>
      <w:pPr>
        <w:pStyle w:val="Heading3"/>
      </w:pPr>
      <w:r>
        <w:t xml:space="preserve">5.2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69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70" w:name="def-iverson-bracket"/>
    <w:p>
      <w:pPr>
        <w:pStyle w:val="BodyText"/>
      </w:pPr>
      <w:r>
        <w:rPr>
          <w:b/>
          <w:bCs/>
        </w:rPr>
        <w:t xml:space="preserve">Definition 14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70"/>
    <w:bookmarkStart w:id="71" w:name="exm-iverson-bracket"/>
    <w:p>
      <w:pPr>
        <w:pStyle w:val="FirstParagraph"/>
      </w:pPr>
      <w:r>
        <w:rPr>
          <w:b/>
          <w:bCs/>
        </w:rPr>
        <w:t xml:space="preserve">Example 12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6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71"/>
    <w:bookmarkStart w:id="72" w:name="rem-iverson-indicator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9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kronecker-delta"/>
    <w:p>
      <w:pPr>
        <w:pStyle w:val="FirstParagraph"/>
      </w:pPr>
      <w:r>
        <w:rPr>
          <w:b/>
          <w:bCs/>
        </w:rPr>
        <w:t xml:space="preserve">Definition 15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73"/>
    <w:bookmarkStart w:id="74" w:name="exm-kronecker-delta"/>
    <w:p>
      <w:pPr>
        <w:pStyle w:val="BodyText"/>
      </w:pPr>
      <w:r>
        <w:rPr>
          <w:b/>
          <w:bCs/>
        </w:rPr>
        <w:t xml:space="preserve">Example 13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79" w:name="Xd6f58182005cccf55080a628cd9152d2b1165ed"/>
    <w:p>
      <w:pPr>
        <w:pStyle w:val="Heading3"/>
      </w:pPr>
      <w:r>
        <w:t xml:space="preserve">5.3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76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77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78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79"/>
    <w:bookmarkStart w:id="81" w:name="summary-of-indicator-notations"/>
    <w:p>
      <w:pPr>
        <w:pStyle w:val="Heading3"/>
      </w:pPr>
      <w:r>
        <w:t xml:space="preserve">5.4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80"/>
          <w:p/>
        </w:tc>
      </w:tr>
    </w:tbl>
    <w:bookmarkEnd w:id="81"/>
    <w:bookmarkStart w:id="82" w:name="conventions-in-this-book"/>
    <w:p>
      <w:pPr>
        <w:pStyle w:val="Heading3"/>
      </w:pPr>
      <w:r>
        <w:t xml:space="preserve">5.5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82"/>
    <w:bookmarkStart w:id="92" w:name="key-algebraic-properties"/>
    <w:p>
      <w:pPr>
        <w:pStyle w:val="Heading3"/>
      </w:pPr>
      <w:r>
        <w:t xml:space="preserve">5.6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84" w:name="def-idempotent"/>
    <w:p>
      <w:pPr>
        <w:pStyle w:val="BodyText"/>
      </w:pPr>
      <w:r>
        <w:rPr>
          <w:b/>
          <w:bCs/>
        </w:rPr>
        <w:t xml:space="preserve">Definition 16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83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84"/>
    <w:bookmarkStart w:id="86" w:name="exm-idempotent-indicator"/>
    <w:p>
      <w:pPr>
        <w:pStyle w:val="BodyText"/>
      </w:pPr>
      <w:r>
        <w:rPr>
          <w:b/>
          <w:bCs/>
        </w:rPr>
        <w:t xml:space="preserve">Example 14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86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87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16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20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88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89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90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91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21"/>
        </w:numPr>
      </w:pPr>
      <w:r>
        <w:t xml:space="preserve">empirical proportions;</w:t>
      </w:r>
    </w:p>
    <w:p>
      <w:pPr>
        <w:pStyle w:val="Compact"/>
        <w:numPr>
          <w:ilvl w:val="0"/>
          <w:numId w:val="1021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21"/>
        </w:numPr>
      </w:pPr>
      <w:r>
        <w:t xml:space="preserve">regression models for binary outcomes.</w:t>
      </w:r>
    </w:p>
    <w:bookmarkEnd w:id="92"/>
    <w:bookmarkEnd w:id="93"/>
    <w:bookmarkStart w:id="113" w:name="sec-notational-shorthands"/>
    <w:p>
      <w:pPr>
        <w:pStyle w:val="Heading2"/>
      </w:pPr>
      <w:r>
        <w:t xml:space="preserve">6 Notational shorthands</w:t>
      </w:r>
    </w:p>
    <w:bookmarkStart w:id="96" w:name="def-lower-upper-limits"/>
    <w:p>
      <w:pPr>
        <w:pStyle w:val="FirstParagraph"/>
      </w:pPr>
      <w:r>
        <w:rPr>
          <w:b/>
          <w:bCs/>
        </w:rPr>
        <w:t xml:space="preserve">Definition 17 (Lower and upper limits of a sum or integral)</w:t>
      </w:r>
      <w:r>
        <w:t xml:space="preserve"> </w:t>
      </w:r>
      <w:r>
        <w:t xml:space="preserve">In a</w:t>
      </w:r>
      <w:r>
        <w:t xml:space="preserve"> </w:t>
      </w:r>
      <w:hyperlink r:id="rId94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 last value.</w:t>
      </w:r>
      <w:r>
        <w:t xml:space="preserve"> </w:t>
      </w:r>
      <w:r>
        <w:t xml:space="preserve">In an</w:t>
      </w:r>
      <w:r>
        <w:t xml:space="preserve"> </w:t>
      </w:r>
      <w:hyperlink r:id="rId9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right end;</w:t>
      </w:r>
      <w:r>
        <w:t xml:space="preserve"> </w:t>
      </w:r>
      <w:r>
        <w:t xml:space="preserve">together they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  <w:r>
        <w:t xml:space="preserve"> </w:t>
      </w:r>
      <w:r>
        <w:t xml:space="preserve">In both, the lower limit is written below the symbol</w:t>
      </w:r>
      <w:r>
        <w:t xml:space="preserve"> </w:t>
      </w:r>
      <w:r>
        <w:t xml:space="preserve">and the upper limit above it.</w:t>
      </w:r>
    </w:p>
    <w:bookmarkEnd w:id="96"/>
    <w:bookmarkStart w:id="97" w:name="exm-lower-upper-limits"/>
    <w:p>
      <w:pPr>
        <w:pStyle w:val="BodyText"/>
      </w:pPr>
      <w:r>
        <w:rPr>
          <w:b/>
          <w:bCs/>
        </w:rPr>
        <w:t xml:space="preserve">Example 15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97"/>
    <w:bookmarkStart w:id="100" w:name="rem-limits-two-meanings"/>
    <w:p>
      <w:pPr>
        <w:pStyle w:val="FirstParagraph"/>
      </w:pPr>
      <w:r>
        <w:rPr>
          <w:i/>
          <w:iCs/>
        </w:rPr>
        <w:t xml:space="preserve">Remark 3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98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99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00"/>
    <w:bookmarkStart w:id="101" w:name="def-notational-shorthand"/>
    <w:p>
      <w:pPr>
        <w:pStyle w:val="BodyText"/>
      </w:pPr>
      <w:r>
        <w:rPr>
          <w:b/>
          <w:bCs/>
        </w:rPr>
        <w:t xml:space="preserve">Definition 18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  <w:r>
        <w:t xml:space="preserve"> </w:t>
      </w:r>
      <w:r>
        <w:t xml:space="preserve">The expression with every part written out is its</w:t>
      </w:r>
      <w:r>
        <w:t xml:space="preserve"> </w:t>
      </w:r>
      <w:r>
        <w:rPr>
          <w:b/>
          <w:bCs/>
        </w:rPr>
        <w:t xml:space="preserve">full form</w:t>
      </w:r>
      <w:r>
        <w:t xml:space="preserve">.</w:t>
      </w:r>
    </w:p>
    <w:bookmarkEnd w:id="10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04" w:name="def-range-of-variable"/>
    <w:p>
      <w:pPr>
        <w:pStyle w:val="FirstParagraph"/>
      </w:pPr>
      <w:r>
        <w:rPr>
          <w:b/>
          <w:bCs/>
        </w:rPr>
        <w:t xml:space="preserve">Definition 19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04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07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05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r:id="rId108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r:id="rId94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09"/>
          <w:p/>
        </w:tc>
      </w:tr>
    </w:tbl>
    <w:bookmarkStart w:id="111" w:name="rem-indefinite-integral-not-shorthand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10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11"/>
    <w:bookmarkStart w:id="112" w:name="exm-expand-index-shorthand"/>
    <w:p>
      <w:pPr>
        <w:pStyle w:val="BodyText"/>
      </w:pPr>
      <w:r>
        <w:rPr>
          <w:b/>
          <w:bCs/>
        </w:rPr>
        <w:t xml:space="preserve">Example 16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12"/>
    <w:bookmarkEnd w:id="113"/>
    <w:bookmarkStart w:id="120" w:name="X93a3d4ef5e06a67ae6b891e46b41b74b3674f55"/>
    <w:p>
      <w:pPr>
        <w:pStyle w:val="Heading2"/>
      </w:pPr>
      <w:r>
        <w:t xml:space="preserve">7 Why is notation in probability and statistics so inconsistent and disorganized?</w:t>
      </w:r>
    </w:p>
    <w:p>
      <w:pPr>
        <w:pStyle w:val="FirstParagraph"/>
      </w:pPr>
      <w:r>
        <w:t xml:space="preserve">In grad school,</w:t>
      </w:r>
      <w:r>
        <w:t xml:space="preserve"> </w:t>
      </w:r>
      <w:r>
        <w:t xml:space="preserve">we are asked to learn</w:t>
      </w:r>
      <w:r>
        <w:t xml:space="preserve"> </w:t>
      </w:r>
      <w:r>
        <w:t xml:space="preserve">from increasingly disorganized materials and lectures.</w:t>
      </w:r>
      <w:r>
        <w:t xml:space="preserve"> </w:t>
      </w:r>
      <w:r>
        <w:t xml:space="preserve">Not coincidentally,</w:t>
      </w:r>
      <w:r>
        <w:t xml:space="preserve"> </w:t>
      </w:r>
      <w:r>
        <w:t xml:space="preserve">as the amount of organization decreases,</w:t>
      </w:r>
      <w:r>
        <w:t xml:space="preserve"> </w:t>
      </w:r>
      <w:r>
        <w:t xml:space="preserve">the amount of complexity increases,</w:t>
      </w:r>
      <w:r>
        <w:t xml:space="preserve"> </w:t>
      </w:r>
      <w:r>
        <w:t xml:space="preserve">the amount of difficulty increases,</w:t>
      </w:r>
      <w:r>
        <w:t xml:space="preserve"> </w:t>
      </w:r>
      <w:r>
        <w:t xml:space="preserve">the number of reliable references decreases,</w:t>
      </w:r>
      <w:r>
        <w:t xml:space="preserve"> </w:t>
      </w:r>
      <w:r>
        <w:t xml:space="preserve">and the amount of inconsistency in notation and content increases</w:t>
      </w:r>
      <w:r>
        <w:t xml:space="preserve"> </w:t>
      </w:r>
      <w:r>
        <w:t xml:space="preserve">(both between multiple references and within single references!).</w:t>
      </w:r>
      <w:r>
        <w:t xml:space="preserve"> </w:t>
      </w:r>
      <w:r>
        <w:t xml:space="preserve">In other words,</w:t>
      </w:r>
      <w:r>
        <w:t xml:space="preserve"> </w:t>
      </w:r>
      <w:r>
        <w:t xml:space="preserve">as you approach the cutting-edge of most fields,</w:t>
      </w:r>
      <w:r>
        <w:t xml:space="preserve"> </w:t>
      </w:r>
      <w:r>
        <w:t xml:space="preserve">you start to run into content</w:t>
      </w:r>
      <w:r>
        <w:t xml:space="preserve"> </w:t>
      </w:r>
      <w:r>
        <w:t xml:space="preserve">that hasn’t been fully thought through or standardized.</w:t>
      </w:r>
      <w:r>
        <w:t xml:space="preserve"> </w:t>
      </w:r>
      <w:r>
        <w:t xml:space="preserve">This lack of clarity</w:t>
      </w:r>
      <w:r>
        <w:t xml:space="preserve"> </w:t>
      </w:r>
      <w:r>
        <w:t xml:space="preserve">is unfortunate and undesirable,</w:t>
      </w:r>
      <w:r>
        <w:t xml:space="preserve"> </w:t>
      </w:r>
      <w:r>
        <w:t xml:space="preserve">but it is understandable and inevitable.</w:t>
      </w:r>
    </w:p>
    <w:p>
      <w:pPr>
        <w:pStyle w:val="BodyText"/>
      </w:pPr>
      <w:r>
        <w:t xml:space="preserve">It’s worth noting</w:t>
      </w:r>
      <w:r>
        <w:t xml:space="preserve"> </w:t>
      </w:r>
      <w:r>
        <w:t xml:space="preserve">that calculus was formalized in the</w:t>
      </w:r>
      <w:r>
        <w:t xml:space="preserve"> </w:t>
      </w:r>
      <w:hyperlink r:id="rId114">
        <w:r>
          <w:rPr>
            <w:rStyle w:val="Hyperlink"/>
          </w:rPr>
          <w:t xml:space="preserve">1600s</w:t>
        </w:r>
      </w:hyperlink>
      <w:r>
        <w:t xml:space="preserve">,</w:t>
      </w:r>
      <w:r>
        <w:t xml:space="preserve"> </w:t>
      </w:r>
      <w:r>
        <w:t xml:space="preserve">elementary algebra was formalized around</w:t>
      </w:r>
      <w:r>
        <w:t xml:space="preserve"> </w:t>
      </w:r>
      <w:hyperlink r:id="rId115">
        <w:r>
          <w:rPr>
            <w:rStyle w:val="Hyperlink"/>
          </w:rPr>
          <w:t xml:space="preserve">820</w:t>
        </w:r>
      </w:hyperlink>
      <w:r>
        <w:t xml:space="preserve">,</w:t>
      </w:r>
      <w:r>
        <w:t xml:space="preserve"> </w:t>
      </w:r>
      <w:r>
        <w:t xml:space="preserve">and arithmetic</w:t>
      </w:r>
      <w:r>
        <w:t xml:space="preserve"> </w:t>
      </w:r>
      <w:hyperlink r:id="rId116">
        <w:r>
          <w:rPr>
            <w:rStyle w:val="Hyperlink"/>
          </w:rPr>
          <w:t xml:space="preserve">even earlier</w:t>
        </w:r>
      </w:hyperlink>
      <w:r>
        <w:t xml:space="preserve">.</w:t>
      </w:r>
      <w:r>
        <w:t xml:space="preserve"> </w:t>
      </w:r>
      <w:r>
        <w:t xml:space="preserve">And calculus still has</w:t>
      </w:r>
      <w:r>
        <w:t xml:space="preserve"> </w:t>
      </w:r>
      <w:hyperlink r:id="rId117">
        <w:r>
          <w:rPr>
            <w:rStyle w:val="Hyperlink"/>
          </w:rPr>
          <w:t xml:space="preserve">several competing notation systems</w:t>
        </w:r>
      </w:hyperlink>
      <w:r>
        <w:t xml:space="preserve">.</w:t>
      </w:r>
      <w:r>
        <w:t xml:space="preserve"> </w:t>
      </w:r>
      <w:r>
        <w:t xml:space="preserve">In contrast, the field of statistics only emerged in the</w:t>
      </w:r>
      <w:r>
        <w:t xml:space="preserve"> </w:t>
      </w:r>
      <w:hyperlink r:id="rId118">
        <w:r>
          <w:rPr>
            <w:rStyle w:val="Hyperlink"/>
          </w:rPr>
          <w:t xml:space="preserve">late 1800s and early 1900s</w:t>
        </w:r>
      </w:hyperlink>
      <w:r>
        <w:t xml:space="preserve">,</w:t>
      </w:r>
      <w:r>
        <w:t xml:space="preserve"> </w:t>
      </w:r>
      <w:r>
        <w:t xml:space="preserve">so it’s not surprising that the notation and terminology is still developing.</w:t>
      </w:r>
      <w:r>
        <w:t xml:space="preserve"> </w:t>
      </w:r>
      <w:r>
        <w:t xml:space="preserve">Generalized linear models were only formalized in 1972</w:t>
      </w:r>
      <w:r>
        <w:t xml:space="preserve"> </w:t>
      </w:r>
      <w:r>
        <w:t xml:space="preserve">(Nelder and Wedderburn 1972)</w:t>
      </w:r>
      <w:r>
        <w:t xml:space="preserve">,</w:t>
      </w:r>
      <w:r>
        <w:t xml:space="preserve"> </w:t>
      </w:r>
      <w:r>
        <w:t xml:space="preserve">which is very recent in terms of the</w:t>
      </w:r>
      <w:r>
        <w:t xml:space="preserve"> </w:t>
      </w:r>
      <w:hyperlink r:id="rId119">
        <w:r>
          <w:rPr>
            <w:rStyle w:val="Hyperlink"/>
          </w:rPr>
          <w:t xml:space="preserve">pace of scientific development</w:t>
        </w:r>
      </w:hyperlink>
      <w:r>
        <w:t xml:space="preserve">.</w:t>
      </w:r>
    </w:p>
    <w:bookmarkEnd w:id="120"/>
    <w:bookmarkStart w:id="123" w:name="sec-further-reading"/>
    <w:p>
      <w:pPr>
        <w:pStyle w:val="Heading2"/>
      </w:pPr>
      <w:r>
        <w:t xml:space="preserve">8 Further reading</w:t>
      </w:r>
    </w:p>
    <w:p>
      <w:pPr>
        <w:pStyle w:val="FirstParagraph"/>
      </w:pPr>
      <w:r>
        <w:t xml:space="preserve">For the logical symbols and proof conventions used in these notes</w:t>
      </w:r>
      <w:r>
        <w:t xml:space="preserve"> </w:t>
      </w:r>
      <w:r>
        <w:t xml:space="preserve">(whose definitions are on the</w:t>
      </w:r>
      <w:r>
        <w:t xml:space="preserve"> </w:t>
      </w:r>
      <w:hyperlink r:id="rId121">
        <w:r>
          <w:rPr>
            <w:rStyle w:val="Hyperlink"/>
          </w:rPr>
          <w:t xml:space="preserve">Proof Writing</w:t>
        </w:r>
      </w:hyperlink>
      <w:r>
        <w:t xml:space="preserve"> </w:t>
      </w:r>
      <w:r>
        <w:t xml:space="preserve">page):</w:t>
      </w:r>
    </w:p>
    <w:p>
      <w:pPr>
        <w:pStyle w:val="Compact"/>
        <w:numPr>
          <w:ilvl w:val="0"/>
          <w:numId w:val="1024"/>
        </w:numPr>
      </w:pPr>
      <w:r>
        <w:t xml:space="preserve">Velleman (2019)</w:t>
      </w:r>
      <w:r>
        <w:t xml:space="preserve"> </w:t>
      </w:r>
      <w:r>
        <w:t xml:space="preserve">explains how mathematical statements are built from</w:t>
      </w:r>
      <w:r>
        <w:t xml:space="preserve"> </w:t>
      </w:r>
      <w:r>
        <w:t xml:space="preserve">logical connectives (</w:t>
      </w:r>
      <w:hyperlink r:id="rId9">
        <w:r>
          <w:rPr>
            <w:rStyle w:val="Hyperlink"/>
          </w:rPr>
          <w:t xml:space="preserve">definition</w:t>
        </w:r>
      </w:hyperlink>
      <w:r>
        <w:t xml:space="preserve">) and quantifiers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how to read and write them.</w:t>
      </w:r>
    </w:p>
    <w:p>
      <w:pPr>
        <w:pStyle w:val="Compact"/>
        <w:numPr>
          <w:ilvl w:val="0"/>
          <w:numId w:val="1024"/>
        </w:numPr>
      </w:pPr>
      <w:r>
        <w:t xml:space="preserve">Barker-Plummer et al. (2011)</w:t>
      </w:r>
      <w:r>
        <w:t xml:space="preserve"> </w:t>
      </w:r>
      <w:r>
        <w:t xml:space="preserve">covers the same symbols as a formal language,</w:t>
      </w:r>
      <w:r>
        <w:t xml:space="preserve"> </w:t>
      </w:r>
      <w:r>
        <w:t xml:space="preserve">with propositional logic (the logic of connectives)</w:t>
      </w:r>
      <w:r>
        <w:t xml:space="preserve"> </w:t>
      </w:r>
      <w:r>
        <w:t xml:space="preserve">and first-order logic (which adds quantifiers).</w:t>
      </w:r>
    </w:p>
    <w:p>
      <w:pPr>
        <w:pStyle w:val="FirstParagraph"/>
      </w:pPr>
      <w:r>
        <w:t xml:space="preserve">For set and function notation, see the</w:t>
      </w:r>
      <w:r>
        <w:t xml:space="preserve"> </w:t>
      </w:r>
      <w:hyperlink r:id="rId122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page.</w:t>
      </w:r>
    </w:p>
    <w:bookmarkEnd w:id="123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5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24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25"/>
    <w:bookmarkStart w:id="127" w:name="ref-nelder1972generalized"/>
    <w:p>
      <w:pPr>
        <w:pStyle w:val="Bibliography"/>
      </w:pPr>
      <w:r>
        <w:t xml:space="preserve">Nelder, John Ashworth, and Robert WM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 Series A: Statistics in Society</w:t>
      </w:r>
      <w:r>
        <w:t xml:space="preserve"> </w:t>
      </w:r>
      <w:r>
        <w:t xml:space="preserve">135 (3): 370–84.</w:t>
      </w:r>
      <w:r>
        <w:t xml:space="preserve"> </w:t>
      </w:r>
      <w:hyperlink r:id="rId126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2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depending on whether it is applied to a matrix or a function</w:t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 generalized linear model (GLM) is a regression model</w:t>
      </w:r>
      <w:r>
        <w:t xml:space="preserve"> </w:t>
      </w:r>
      <w:r>
        <w:t xml:space="preserve">in which a chosen function</w:t>
      </w:r>
      <w:r>
        <w:t xml:space="preserve"> </w:t>
      </w:r>
      <m:oMath>
        <m:r>
          <m:t>g</m:t>
        </m:r>
      </m:oMath>
      <w:r>
        <w:t xml:space="preserve">, the link function,</w:t>
      </w:r>
      <w:r>
        <w:t xml:space="preserve"> </w:t>
      </w:r>
      <w:r>
        <w:t xml:space="preserve">of the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outcome</w:t>
      </w:r>
      <w:r>
        <w:t xml:space="preserve"> </w:t>
      </w:r>
      <w:r>
        <w:t xml:space="preserve">equals the linear predictor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β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21">
        <w:r>
          <w:rPr>
            <w:rStyle w:val="Hyperlink"/>
          </w:rPr>
          <w:t xml:space="preserve">linear combination</w:t>
        </w:r>
      </w:hyperlink>
      <w:r>
        <w:t xml:space="preserve"> </w:t>
      </w:r>
      <w:r>
        <w:t xml:space="preserve">of the predictor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β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η</m:t>
        </m:r>
      </m:oMath>
      <w:r>
        <w:t xml:space="preserve">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image" Target="media/rId34.png"/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_rels/footnotes.xml.rels><?xml version='1.0' encoding='UTF-8' standalone='yes'?>
<Relationships xmlns="http://schemas.openxmlformats.org/package/2006/relationships"><Relationship Id="rId91" Type="http://schemas.openxmlformats.org/officeDocument/2006/relationships/hyperlink" Target="algebra-basics.html#def-identity" TargetMode="External"/><Relationship Id="rId45" Type="http://schemas.openxmlformats.org/officeDocument/2006/relationships/hyperlink" Target="algebra-basics.html#def-square-root" TargetMode="External"/><Relationship Id="rId99" Type="http://schemas.openxmlformats.org/officeDocument/2006/relationships/hyperlink" Target="algebra-exponentials.html#def-sequence-limit" TargetMode="External"/><Relationship Id="rId108" Type="http://schemas.openxmlformats.org/officeDocument/2006/relationships/hyperlink" Target="algebra-sums.html#def-sum-over-set" TargetMode="External"/><Relationship Id="rId94" Type="http://schemas.openxmlformats.org/officeDocument/2006/relationships/hyperlink" Target="algebra-sums.html#def-summation" TargetMode="External"/><Relationship Id="rId12" Type="http://schemas.openxmlformats.org/officeDocument/2006/relationships/hyperlink" Target="algebra-sums.html#sec-summation" TargetMode="External"/><Relationship Id="rId15" Type="http://schemas.openxmlformats.org/officeDocument/2006/relationships/hyperlink" Target="calculus-derivatives.html#def-derivative" TargetMode="External"/><Relationship Id="rId98" Type="http://schemas.openxmlformats.org/officeDocument/2006/relationships/hyperlink" Target="calculus-derivatives.html#def-limit" TargetMode="External"/><Relationship Id="rId110" Type="http://schemas.openxmlformats.org/officeDocument/2006/relationships/hyperlink" Target="calculus-integration.html#def-indefinite-integral" TargetMode="External"/><Relationship Id="rId95" Type="http://schemas.openxmlformats.org/officeDocument/2006/relationships/hyperlink" Target="calculus-integration.html#def-riemann-integral" TargetMode="External"/><Relationship Id="rId129" Type="http://schemas.openxmlformats.org/officeDocument/2006/relationships/hyperlink" Target="https://doi.org/10.1017/9781108539890" TargetMode="External"/><Relationship Id="rId126" Type="http://schemas.openxmlformats.org/officeDocument/2006/relationships/hyperlink" Target="https://doi.org/10.2307/2344614" TargetMode="External"/><Relationship Id="rId37" Type="http://schemas.openxmlformats.org/officeDocument/2006/relationships/hyperlink" Target="https://en.wikipedia.org/w/index.php?title=Natural_number&amp;oldid=1375965996" TargetMode="External"/><Relationship Id="rId115" Type="http://schemas.openxmlformats.org/officeDocument/2006/relationships/hyperlink" Target="https://en.wikipedia.org/wiki/Al-Jabr" TargetMode="External"/><Relationship Id="rId116" Type="http://schemas.openxmlformats.org/officeDocument/2006/relationships/hyperlink" Target="https://en.wikipedia.org/wiki/Arithmetic#History" TargetMode="External"/><Relationship Id="rId19" Type="http://schemas.openxmlformats.org/officeDocument/2006/relationships/hyperlink" Target="https://en.wikipedia.org/wiki/Generalized_linear_model#:~:text=The%20linear%20predictor%20is%20the,data%20through%20the%20link%20function" TargetMode="External"/><Relationship Id="rId118" Type="http://schemas.openxmlformats.org/officeDocument/2006/relationships/hyperlink" Target="https://en.wikipedia.org/wiki/History_of_statistics#Development_of_modern_statistics" TargetMode="External"/><Relationship Id="rId69" Type="http://schemas.openxmlformats.org/officeDocument/2006/relationships/hyperlink" Target="https://en.wikipedia.org/wiki/Iverson_bracket" TargetMode="External"/><Relationship Id="rId114" Type="http://schemas.openxmlformats.org/officeDocument/2006/relationships/hyperlink" Target="https://en.wikipedia.org/wiki/Leibniz%27s_notation" TargetMode="External"/><Relationship Id="rId117" Type="http://schemas.openxmlformats.org/officeDocument/2006/relationships/hyperlink" Target="https://en.wikipedia.org/wiki/Notation_for_differentiation" TargetMode="External"/><Relationship Id="rId50" Type="http://schemas.openxmlformats.org/officeDocument/2006/relationships/hyperlink" Target="https://en.wikipedia.org/wiki/Percentage" TargetMode="External"/><Relationship Id="rId47" Type="http://schemas.openxmlformats.org/officeDocument/2006/relationships/hyperlink" Target="https://en.wikipedia.org/wiki/Proof_that_%CF%80_is_irrational" TargetMode="External"/><Relationship Id="rId46" Type="http://schemas.openxmlformats.org/officeDocument/2006/relationships/hyperlink" Target="https://en.wikipedia.org/wiki/Square_root_of_2" TargetMode="External"/><Relationship Id="rId119" Type="http://schemas.openxmlformats.org/officeDocument/2006/relationships/hyperlink" Target="https://en.wikipedia.org/wiki/The_Structure_of_Scientific_Revolutions" TargetMode="External"/><Relationship Id="rId78" Type="http://schemas.openxmlformats.org/officeDocument/2006/relationships/hyperlink" Target="https://morrison-lab.github.io/pds/expectation.html#def-cond-expectation" TargetMode="External"/><Relationship Id="rId14" Type="http://schemas.openxmlformats.org/officeDocument/2006/relationships/hyperlink" Target="https://morrison-lab.github.io/pds/expectation.html#def-expectation" TargetMode="External"/><Relationship Id="rId17" Type="http://schemas.openxmlformats.org/officeDocument/2006/relationships/hyperlink" Target="https://morrison-lab.github.io/pds/independence.html#def-indpt" TargetMode="External"/><Relationship Id="rId11" Type="http://schemas.openxmlformats.org/officeDocument/2006/relationships/hyperlink" Target="https://morrison-lab.github.io/pds/probability-basics.html#def-conditional-prob" TargetMode="External"/><Relationship Id="rId89" Type="http://schemas.openxmlformats.org/officeDocument/2006/relationships/hyperlink" Target="https://morrison-lab.github.io/pds/probability-basics.html#def-event" TargetMode="External"/><Relationship Id="rId90" Type="http://schemas.openxmlformats.org/officeDocument/2006/relationships/hyperlink" Target="https://morrison-lab.github.io/pds/probability-basics.html#def-probability" TargetMode="External"/><Relationship Id="rId88" Type="http://schemas.openxmlformats.org/officeDocument/2006/relationships/hyperlink" Target="https://morrison-lab.github.io/pds/probability-basics.html#def-sample-space" TargetMode="External"/><Relationship Id="rId13" Type="http://schemas.openxmlformats.org/officeDocument/2006/relationships/hyperlink" Target="https://morrison-lab.github.io/pds/random-variables.html#def-random-variable" TargetMode="External"/><Relationship Id="rId23" Type="http://schemas.openxmlformats.org/officeDocument/2006/relationships/hyperlink" Target="https://quarto.org/docs/authoring/markdown-basics.html#equations" TargetMode="External"/><Relationship Id="rId124" Type="http://schemas.openxmlformats.org/officeDocument/2006/relationships/hyperlink" Target="https://www.amazon.com/dp/1575866323" TargetMode="External"/><Relationship Id="rId85" Type="http://schemas.openxmlformats.org/officeDocument/2006/relationships/hyperlink" Target="linear-algebra-special-matrices.html#def-idempotent-matrix" TargetMode="External"/><Relationship Id="rId21" Type="http://schemas.openxmlformats.org/officeDocument/2006/relationships/hyperlink" Target="linear-algebra-vectors.html#def-linear-combination" TargetMode="External"/><Relationship Id="rId63" Type="http://schemas.openxmlformats.org/officeDocument/2006/relationships/hyperlink" Target="proof-writing.qmd#def-inequality" TargetMode="External"/><Relationship Id="rId9" Type="http://schemas.openxmlformats.org/officeDocument/2006/relationships/hyperlink" Target="proof-writing.qmd#def-logical-connective" TargetMode="External"/><Relationship Id="rId18" Type="http://schemas.openxmlformats.org/officeDocument/2006/relationships/hyperlink" Target="proof-writing.qmd#def-logical-entailment" TargetMode="External"/><Relationship Id="rId59" Type="http://schemas.openxmlformats.org/officeDocument/2006/relationships/hyperlink" Target="proof-writing.qmd#def-predicate" TargetMode="External"/><Relationship Id="rId10" Type="http://schemas.openxmlformats.org/officeDocument/2006/relationships/hyperlink" Target="proof-writing.qmd#def-quantifier" TargetMode="External"/><Relationship Id="rId121" Type="http://schemas.openxmlformats.org/officeDocument/2006/relationships/hyperlink" Target="proof-writing.qmd#sec-proof-definitions" TargetMode="External"/><Relationship Id="rId122" Type="http://schemas.openxmlformats.org/officeDocument/2006/relationships/hyperlink" Target="sets-functions.qmd" TargetMode="External"/><Relationship Id="rId87" Type="http://schemas.openxmlformats.org/officeDocument/2006/relationships/hyperlink" Target="sets-functions.qmd#def-complement" TargetMode="External"/><Relationship Id="rId83" Type="http://schemas.openxmlformats.org/officeDocument/2006/relationships/hyperlink" Target="sets-functions.qmd#def-domain" TargetMode="External"/><Relationship Id="rId76" Type="http://schemas.openxmlformats.org/officeDocument/2006/relationships/hyperlink" Target="sets-functions.qmd#def-finite-set" TargetMode="External"/><Relationship Id="rId105" Type="http://schemas.openxmlformats.org/officeDocument/2006/relationships/hyperlink" Target="sets-functions.qmd#def-function" TargetMode="External"/><Relationship Id="rId106" Type="http://schemas.openxmlformats.org/officeDocument/2006/relationships/hyperlink" Target="sets-functions.qmd#def-image" TargetMode="External"/><Relationship Id="rId77" Type="http://schemas.openxmlformats.org/officeDocument/2006/relationships/hyperlink" Target="sets-functions.qmd#def-interval" TargetMode="External"/><Relationship Id="rId107" Type="http://schemas.openxmlformats.org/officeDocument/2006/relationships/hyperlink" Target="sets-functions.qmd#rem-image-ran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2026-10-15T08:13:12Z</dcterms:created>
  <dcterms:modified xsi:type="dcterms:W3CDTF">2026-10-15T08:13:12Z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00:29:52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