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2026-10-22 00:50:13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20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19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50" w:name="infimum-and-supremum"/>
    <w:p>
      <w:pPr>
        <w:pStyle w:val="Heading2"/>
      </w:pPr>
      <w:r>
        <w:t xml:space="preserve">2 Infimum and supremum</w:t>
      </w:r>
    </w:p>
    <w:bookmarkStart w:id="32" w:name="def-upper-bound"/>
    <w:p>
      <w:pPr>
        <w:pStyle w:val="FirstParagraph"/>
      </w:pPr>
      <w:r>
        <w:rPr>
          <w:b/>
          <w:bCs/>
        </w:rPr>
        <w:t xml:space="preserve">Definition 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2"/>
    <w:bookmarkStart w:id="33" w:name="def-lower-bound"/>
    <w:p>
      <w:pPr>
        <w:pStyle w:val="BodyText"/>
      </w:pPr>
      <w:r>
        <w:rPr>
          <w:b/>
          <w:bCs/>
        </w:rPr>
        <w:t xml:space="preserve">Definition 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3"/>
    <w:bookmarkStart w:id="35" w:name="def-bounded-above"/>
    <w:p>
      <w:pPr>
        <w:pStyle w:val="BodyText"/>
      </w:pPr>
      <w:r>
        <w:rPr>
          <w:b/>
          <w:bCs/>
        </w:rPr>
        <w:t xml:space="preserve">Definition 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5"/>
    <w:bookmarkStart w:id="36" w:name="def-bounded-below"/>
    <w:p>
      <w:pPr>
        <w:pStyle w:val="BodyText"/>
      </w:pPr>
      <w:r>
        <w:rPr>
          <w:b/>
          <w:bCs/>
        </w:rPr>
        <w:t xml:space="preserve">Definition 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6"/>
    <w:bookmarkStart w:id="37" w:name="def-bounded"/>
    <w:p>
      <w:pPr>
        <w:pStyle w:val="BodyText"/>
      </w:pPr>
      <w:r>
        <w:rPr>
          <w:b/>
          <w:bCs/>
        </w:rPr>
        <w:t xml:space="preserve">Definition 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7"/>
    <w:bookmarkStart w:id="38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8"/>
    <w:bookmarkStart w:id="41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9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40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[7],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42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43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43"/>
    <w:bookmarkStart w:id="44" w:name="def-infimum"/>
    <w:p>
      <w:pPr>
        <w:pStyle w:val="BodyText"/>
      </w:pPr>
      <w:r>
        <w:rPr>
          <w:b/>
          <w:bCs/>
        </w:rPr>
        <w:t xml:space="preserve">Definition 9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4"/>
    <w:bookmarkStart w:id="45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5"/>
    <w:bookmarkStart w:id="46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6"/>
    <w:bookmarkStart w:id="47" w:name="def-supremum"/>
    <w:p>
      <w:pPr>
        <w:pStyle w:val="FirstParagraph"/>
      </w:pPr>
      <w:r>
        <w:rPr>
          <w:b/>
          <w:bCs/>
        </w:rPr>
        <w:t xml:space="preserve">Definition 10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7"/>
    <w:bookmarkStart w:id="48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8"/>
    <w:bookmarkStart w:id="49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9"/>
    <w:bookmarkEnd w:id="50"/>
    <w:bookmarkStart w:id="63" w:name="sums"/>
    <w:p>
      <w:pPr>
        <w:pStyle w:val="Heading2"/>
      </w:pPr>
      <w:r>
        <w:t xml:space="preserve">3 Sums</w:t>
      </w:r>
    </w:p>
    <w:bookmarkStart w:id="51" w:name="def-term"/>
    <w:p>
      <w:pPr>
        <w:pStyle w:val="FirstParagraph"/>
      </w:pPr>
      <w:r>
        <w:rPr>
          <w:b/>
          <w:bCs/>
        </w:rPr>
        <w:t xml:space="preserve">Definition 11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51"/>
    <w:bookmarkStart w:id="52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52"/>
    <w:bookmarkStart w:id="53" w:name="def-identity-element"/>
    <w:p>
      <w:pPr>
        <w:pStyle w:val="FirstParagraph"/>
      </w:pPr>
      <w:r>
        <w:rPr>
          <w:b/>
          <w:bCs/>
        </w:rPr>
        <w:t xml:space="preserve">Definition 12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3"/>
    <w:bookmarkStart w:id="54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4"/>
    <w:bookmarkStart w:id="55" w:name="def-commutative"/>
    <w:p>
      <w:pPr>
        <w:pStyle w:val="FirstParagraph"/>
      </w:pPr>
      <w:r>
        <w:rPr>
          <w:b/>
          <w:bCs/>
        </w:rPr>
        <w:t xml:space="preserve">Definition 13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[10]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 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,</w:t>
      </w:r>
      <w:r>
        <w:t xml:space="preserve"> </w:t>
      </w:r>
      <w:r>
        <w:t xml:space="preserve">as in the theorem titles</w:t>
      </w:r>
      <w:r>
        <w:t xml:space="preserve"> </w:t>
      </w:r>
      <w:r>
        <w:t xml:space="preserve">“Sums are symmetric”</w:t>
      </w:r>
      <w:r>
        <w:t xml:space="preserve"> </w:t>
      </w:r>
      <w:r>
        <w:t xml:space="preserve">and</w:t>
      </w:r>
      <w:r>
        <w:t xml:space="preserve"> </w:t>
      </w:r>
      <w:r>
        <w:t xml:space="preserve">“Products are symmetric”</w:t>
      </w:r>
      <w:r>
        <w:t xml:space="preserve">.</w:t>
      </w:r>
      <w:r>
        <w:t xml:space="preserve"> </w:t>
      </w:r>
    </w:p>
    <w:bookmarkEnd w:id="55"/>
    <w:bookmarkStart w:id="56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6"/>
    <w:bookmarkStart w:id="57" w:name="def-associative"/>
    <w:p>
      <w:pPr>
        <w:pStyle w:val="FirstParagraph"/>
      </w:pPr>
      <w:r>
        <w:rPr>
          <w:b/>
          <w:bCs/>
        </w:rPr>
        <w:t xml:space="preserve">Definition 14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[11]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7"/>
    <w:bookmarkStart w:id="58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60"/>
    <w:bookmarkStart w:id="61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Start w:id="62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67" w:name="products"/>
    <w:p>
      <w:pPr>
        <w:pStyle w:val="Heading2"/>
      </w:pPr>
      <w:r>
        <w:t xml:space="preserve">4 Products</w:t>
      </w:r>
    </w:p>
    <w:bookmarkStart w:id="64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4"/>
    <w:bookmarkStart w:id="65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5"/>
    <w:bookmarkStart w:id="66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6"/>
    <w:bookmarkEnd w:id="67"/>
    <w:bookmarkStart w:id="69" w:name="division"/>
    <w:p>
      <w:pPr>
        <w:pStyle w:val="Heading2"/>
      </w:pPr>
      <w:r>
        <w:t xml:space="preserve">5 Division</w:t>
      </w:r>
    </w:p>
    <w:bookmarkStart w:id="68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8"/>
    <w:bookmarkEnd w:id="69"/>
    <w:bookmarkStart w:id="84" w:name="sums-and-products-together"/>
    <w:p>
      <w:pPr>
        <w:pStyle w:val="Heading2"/>
      </w:pPr>
      <w:r>
        <w:t xml:space="preserve">6 Sums and products together</w:t>
      </w:r>
    </w:p>
    <w:bookmarkStart w:id="70" w:name="def-distributes-over"/>
    <w:p>
      <w:pPr>
        <w:pStyle w:val="FirstParagraph"/>
      </w:pPr>
      <w:r>
        <w:rPr>
          <w:b/>
          <w:bCs/>
        </w:rPr>
        <w:t xml:space="preserve">Definition 15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70"/>
    <w:bookmarkStart w:id="71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71"/>
    <w:bookmarkStart w:id="72" w:name="thm-mult-distr"/>
    <w:p>
      <w:pPr>
        <w:pStyle w:val="BodyText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2"/>
    <w:bookmarkStart w:id="73" w:name="def-distributive"/>
    <w:p>
      <w:pPr>
        <w:pStyle w:val="FirstParagraph"/>
      </w:pPr>
      <w:r>
        <w:rPr>
          <w:b/>
          <w:bCs/>
        </w:rPr>
        <w:t xml:space="preserve">Definition 16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[12]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73"/>
    <w:bookmarkStart w:id="74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like-terms"/>
    <w:p>
      <w:pPr>
        <w:pStyle w:val="FirstParagraph"/>
      </w:pPr>
      <w:r>
        <w:rPr>
          <w:b/>
          <w:bCs/>
        </w:rPr>
        <w:t xml:space="preserve">Definition 17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[13]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75"/>
    <w:bookmarkStart w:id="76" w:name="def-collect-like-terms"/>
    <w:p>
      <w:pPr>
        <w:pStyle w:val="BodyText"/>
      </w:pPr>
      <w:r>
        <w:rPr>
          <w:b/>
          <w:bCs/>
        </w:rPr>
        <w:t xml:space="preserve">Definition 18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17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6"/>
    <w:bookmarkStart w:id="77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7"/>
    <w:bookmarkStart w:id="78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8"/>
    <w:bookmarkStart w:id="79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9"/>
    <w:bookmarkStart w:id="80" w:name="thm-product-of-sums"/>
    <w:p>
      <w:pPr>
        <w:pStyle w:val="BodyText"/>
      </w:pPr>
      <w:r>
        <w:rPr>
          <w:b/>
          <w:bCs/>
        </w:rPr>
        <w:t xml:space="preserve">Theorem 12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81" w:name="exm-product-of-sums"/>
    <w:p>
      <w:pPr>
        <w:pStyle w:val="FirstParagraph"/>
      </w:pPr>
      <w:r>
        <w:rPr>
          <w:b/>
          <w:bCs/>
        </w:rPr>
        <w:t xml:space="preserve">Example 18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81"/>
    <w:bookmarkStart w:id="82" w:name="thm-square-of-a-sum"/>
    <w:p>
      <w:pPr>
        <w:pStyle w:val="BodyText"/>
      </w:pPr>
      <w:r>
        <w:rPr>
          <w:b/>
          <w:bCs/>
        </w:rPr>
        <w:t xml:space="preserve">Theorem 13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83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3"/>
    <w:bookmarkEnd w:id="84"/>
    <w:bookmarkStart w:id="103" w:name="sec-summation"/>
    <w:p>
      <w:pPr>
        <w:pStyle w:val="Heading2"/>
      </w:pPr>
      <w:r>
        <w:t xml:space="preserve">7 Summation notation</w:t>
      </w:r>
    </w:p>
    <w:bookmarkStart w:id="85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2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2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85"/>
    <w:bookmarkStart w:id="86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86"/>
    <w:bookmarkStart w:id="87" w:name="def-summation"/>
    <w:p>
      <w:pPr>
        <w:pStyle w:val="FirstParagraph"/>
      </w:pPr>
      <w:r>
        <w:rPr>
          <w:b/>
          <w:bCs/>
        </w:rPr>
        <w:t xml:space="preserve">Definition 19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limits:</w:t>
      </w:r>
      <w:r>
        <w:t xml:space="preserve"> </w:t>
      </w:r>
      <w:r>
        <w:t xml:space="preserve"> </w:t>
      </w:r>
      <w:r>
        <w:t xml:space="preserve">the first and last values of the index.</w:t>
      </w:r>
      <w:r>
        <w:t xml:space="preserve"> </w:t>
      </w:r>
    </w:p>
    <w:bookmarkEnd w:id="87"/>
    <w:bookmarkStart w:id="88" w:name="def-summation-index"/>
    <w:p>
      <w:pPr>
        <w:pStyle w:val="BodyText"/>
      </w:pPr>
      <w:r>
        <w:rPr>
          <w:b/>
          <w:bCs/>
        </w:rPr>
        <w:t xml:space="preserve">Definition 20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88"/>
    <w:bookmarkStart w:id="89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0" w:name="def-empty-sum"/>
    <w:p>
      <w:pPr>
        <w:pStyle w:val="FirstParagraph"/>
      </w:pPr>
      <w:r>
        <w:rPr>
          <w:b/>
          <w:bCs/>
        </w:rPr>
        <w:t xml:space="preserve">Definition 21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0"/>
    <w:bookmarkStart w:id="91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91"/>
    <w:bookmarkStart w:id="92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92"/>
    <w:bookmarkStart w:id="93" w:name="thm-sum-constant-factor"/>
    <w:p>
      <w:pPr>
        <w:pStyle w:val="BodyText"/>
      </w:pPr>
      <w:r>
        <w:rPr>
          <w:b/>
          <w:bCs/>
        </w:rPr>
        <w:t xml:space="preserve">Theorem 14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94" w:name="thm-sum-of-sums"/>
    <w:p>
      <w:pPr>
        <w:pStyle w:val="BodyText"/>
      </w:pPr>
      <w:r>
        <w:rPr>
          <w:b/>
          <w:bCs/>
        </w:rPr>
        <w:t xml:space="preserve">Theorem 15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95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6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95"/>
    <w:bookmarkStart w:id="96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7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96"/>
    <w:bookmarkStart w:id="99" w:name="def-sum-over-set"/>
    <w:p>
      <w:pPr>
        <w:pStyle w:val="FirstParagraph"/>
      </w:pPr>
      <w:r>
        <w:rPr>
          <w:b/>
          <w:bCs/>
        </w:rPr>
        <w:t xml:space="preserve">Definition 22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97">
        <w:r>
          <w:rPr>
            <w:rStyle w:val="Hyperlink"/>
          </w:rPr>
          <w:t xml:space="preserve">finite</w:t>
        </w:r>
      </w:hyperlink>
      <w:r>
        <w:t xml:space="preserve"> </w:t>
      </w:r>
      <w:hyperlink r:id="rId98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9"/>
    <w:bookmarkStart w:id="100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100"/>
    <w:bookmarkStart w:id="101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01"/>
    <w:bookmarkStart w:id="102" w:name="exm-sum-over-empty-set"/>
    <w:p>
      <w:pPr>
        <w:pStyle w:val="BodyText"/>
      </w:pPr>
      <w:r>
        <w:rPr>
          <w:b/>
          <w:bCs/>
        </w:rPr>
        <w:t xml:space="preserve">Example 19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2"/>
    <w:bookmarkEnd w:id="103"/>
    <w:bookmarkStart w:id="126" w:name="quotients"/>
    <w:p>
      <w:pPr>
        <w:pStyle w:val="Heading2"/>
      </w:pPr>
      <w:r>
        <w:t xml:space="preserve">8 Quotients</w:t>
      </w:r>
    </w:p>
    <w:bookmarkStart w:id="104" w:name="def-quotient"/>
    <w:p>
      <w:pPr>
        <w:pStyle w:val="FirstParagraph"/>
      </w:pPr>
      <w:r>
        <w:rPr>
          <w:b/>
          <w:bCs/>
        </w:rPr>
        <w:t xml:space="preserve">Definition 23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04"/>
    <w:bookmarkStart w:id="105" w:name="def-fraction"/>
    <w:p>
      <w:pPr>
        <w:pStyle w:val="FirstParagraph"/>
      </w:pPr>
      <w:r>
        <w:rPr>
          <w:b/>
          <w:bCs/>
        </w:rPr>
        <w:t xml:space="preserve">Definition 24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05"/>
    <w:bookmarkStart w:id="106" w:name="def-numerator"/>
    <w:p>
      <w:pPr>
        <w:pStyle w:val="BodyText"/>
      </w:pPr>
      <w:r>
        <w:rPr>
          <w:b/>
          <w:bCs/>
        </w:rPr>
        <w:t xml:space="preserve">Definition 25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06"/>
    <w:bookmarkStart w:id="107" w:name="def-denominator"/>
    <w:p>
      <w:pPr>
        <w:pStyle w:val="BodyText"/>
      </w:pPr>
      <w:r>
        <w:rPr>
          <w:b/>
          <w:bCs/>
        </w:rPr>
        <w:t xml:space="preserve">Definition 26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07"/>
    <w:bookmarkStart w:id="108" w:name="exm-fraction"/>
    <w:p>
      <w:pPr>
        <w:pStyle w:val="BodyText"/>
      </w:pPr>
      <w:r>
        <w:rPr>
          <w:b/>
          <w:bCs/>
        </w:rPr>
        <w:t xml:space="preserve">Example 20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08"/>
    <w:bookmarkStart w:id="109" w:name="exm-quotient"/>
    <w:p>
      <w:pPr>
        <w:pStyle w:val="BodyText"/>
      </w:pPr>
      <w:r>
        <w:rPr>
          <w:b/>
          <w:bCs/>
        </w:rPr>
        <w:t xml:space="preserve">Example 21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 a nonzero denominator.</w:t>
      </w:r>
    </w:p>
    <w:bookmarkEnd w:id="109"/>
    <w:bookmarkStart w:id="110" w:name="def-follow-up"/>
    <w:p>
      <w:pPr>
        <w:pStyle w:val="BodyText"/>
      </w:pPr>
      <w:r>
        <w:rPr>
          <w:b/>
          <w:bCs/>
        </w:rPr>
        <w:t xml:space="preserve">Definition 27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10"/>
    <w:bookmarkStart w:id="111" w:name="def-person-years"/>
    <w:p>
      <w:pPr>
        <w:pStyle w:val="BodyText"/>
      </w:pPr>
      <w:r>
        <w:rPr>
          <w:b/>
          <w:bCs/>
        </w:rPr>
        <w:t xml:space="preserve">Definition 28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27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11"/>
    <w:bookmarkStart w:id="112" w:name="exm-person-years"/>
    <w:p>
      <w:pPr>
        <w:pStyle w:val="BodyText"/>
      </w:pPr>
      <w:r>
        <w:rPr>
          <w:b/>
          <w:bCs/>
        </w:rPr>
        <w:t xml:space="preserve">Example 22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12"/>
    <w:bookmarkStart w:id="113" w:name="def-rate"/>
    <w:p>
      <w:pPr>
        <w:pStyle w:val="BodyText"/>
      </w:pPr>
      <w:r>
        <w:rPr>
          <w:b/>
          <w:bCs/>
        </w:rPr>
        <w:t xml:space="preserve">Definition 29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13"/>
    <w:p>
      <w:pPr>
        <w:pStyle w:val="BodyText"/>
      </w:pPr>
      <w:r>
        <w:t xml:space="preserve">cf. </w:t>
      </w:r>
      <w:hyperlink r:id="rId114">
        <w:r>
          <w:rPr>
            <w:rStyle w:val="Hyperlink"/>
          </w:rPr>
          <w:t xml:space="preserve">https://en.wikipedia.org/wiki/Rate_(mathematics)</w:t>
        </w:r>
      </w:hyperlink>
    </w:p>
    <w:bookmarkStart w:id="116" w:name="def-ratio"/>
    <w:p>
      <w:pPr>
        <w:pStyle w:val="BodyText"/>
      </w:pPr>
      <w:r>
        <w:rPr>
          <w:b/>
          <w:bCs/>
        </w:rPr>
        <w:t xml:space="preserve">Definition 30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15">
        <w:r>
          <w:rPr>
            <w:rStyle w:val="Hyperlink"/>
          </w:rPr>
          <w:t xml:space="preserve">https://en.wikipedia.org/wiki/Ratio</w:t>
        </w:r>
      </w:hyperlink>
    </w:p>
    <w:bookmarkEnd w:id="116"/>
    <w:bookmarkStart w:id="117" w:name="exm-ratio"/>
    <w:p>
      <w:pPr>
        <w:pStyle w:val="BodyText"/>
      </w:pPr>
      <w:r>
        <w:rPr>
          <w:b/>
          <w:bCs/>
        </w:rPr>
        <w:t xml:space="preserve">Example 23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8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17"/>
    <w:bookmarkStart w:id="120" w:name="def-proportion"/>
    <w:p>
      <w:pPr>
        <w:pStyle w:val="FirstParagraph"/>
      </w:pPr>
      <w:r>
        <w:rPr>
          <w:b/>
          <w:bCs/>
        </w:rPr>
        <w:t xml:space="preserve">Definition 31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20"/>
    <w:bookmarkStart w:id="121" w:name="exm-proportion"/>
    <w:p>
      <w:pPr>
        <w:pStyle w:val="BodyText"/>
      </w:pPr>
      <w:r>
        <w:rPr>
          <w:b/>
          <w:bCs/>
        </w:rPr>
        <w:t xml:space="preserve">Example 24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9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9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21"/>
    <w:bookmarkStart w:id="123" w:name="def-proportional"/>
    <w:p>
      <w:pPr>
        <w:pStyle w:val="FirstParagraph"/>
      </w:pPr>
      <w:r>
        <w:rPr>
          <w:b/>
          <w:bCs/>
        </w:rPr>
        <w:t xml:space="preserve">Definition 32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2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23"/>
    <w:bookmarkStart w:id="124" w:name="exm-proportional"/>
    <w:p>
      <w:pPr>
        <w:pStyle w:val="BodyText"/>
      </w:pPr>
      <w:r>
        <w:rPr>
          <w:b/>
          <w:bCs/>
        </w:rPr>
        <w:t xml:space="preserve">Example 25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2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26"/>
    <w:bookmarkStart w:id="173" w:name="sec-notational-shorthands"/>
    <w:p>
      <w:pPr>
        <w:pStyle w:val="Heading2"/>
      </w:pPr>
      <w:r>
        <w:t xml:space="preserve">9 Limits of sums and notational shorthands</w:t>
      </w:r>
    </w:p>
    <w:bookmarkStart w:id="128" w:name="def-lower-upper-limits"/>
    <w:p>
      <w:pPr>
        <w:pStyle w:val="FirstParagraph"/>
      </w:pPr>
      <w:r>
        <w:rPr>
          <w:b/>
          <w:bCs/>
        </w:rPr>
        <w:t xml:space="preserve">Definition 33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28"/>
    <w:bookmarkStart w:id="129" w:name="def-upper-limit"/>
    <w:p>
      <w:pPr>
        <w:pStyle w:val="BodyText"/>
      </w:pPr>
      <w:r>
        <w:rPr>
          <w:b/>
          <w:bCs/>
        </w:rPr>
        <w:t xml:space="preserve">Definition 34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29"/>
    <w:bookmarkStart w:id="130" w:name="def-limits-of-integration"/>
    <w:p>
      <w:pPr>
        <w:pStyle w:val="BodyText"/>
      </w:pPr>
      <w:r>
        <w:rPr>
          <w:b/>
          <w:bCs/>
        </w:rPr>
        <w:t xml:space="preserve">Definition 35 (Limits of integration)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30"/>
    <w:bookmarkStart w:id="131" w:name="exm-lower-upper-limits"/>
    <w:p>
      <w:pPr>
        <w:pStyle w:val="BodyText"/>
      </w:pPr>
      <w:r>
        <w:rPr>
          <w:b/>
          <w:bCs/>
        </w:rPr>
        <w:t xml:space="preserve">Example 26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31"/>
    <w:bookmarkStart w:id="134" w:name="rem-limits-two-meanings"/>
    <w:p>
      <w:pPr>
        <w:pStyle w:val="FirstParagraph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13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34"/>
    <w:bookmarkStart w:id="135" w:name="def-notational-shorthand"/>
    <w:p>
      <w:pPr>
        <w:pStyle w:val="BodyText"/>
      </w:pPr>
      <w:r>
        <w:rPr>
          <w:b/>
          <w:bCs/>
        </w:rPr>
        <w:t xml:space="preserve">Definition 36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35"/>
    <w:bookmarkStart w:id="136" w:name="def-full-form"/>
    <w:p>
      <w:pPr>
        <w:pStyle w:val="BodyText"/>
      </w:pPr>
      <w:r>
        <w:rPr>
          <w:b/>
          <w:bCs/>
        </w:rPr>
        <w:t xml:space="preserve">Definition 37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3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40" w:name="def-range-of-variable"/>
    <w:p>
      <w:pPr>
        <w:pStyle w:val="FirstParagraph"/>
      </w:pPr>
      <w:r>
        <w:rPr>
          <w:b/>
          <w:bCs/>
        </w:rPr>
        <w:t xml:space="preserve">Definition 38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40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43"/>
          <w:p/>
        </w:tc>
      </w:tr>
    </w:tbl>
    <w:bookmarkStart w:id="145" w:name="rem-indefinite-integral-not-shorthand"/>
    <w:p>
      <w:pPr>
        <w:pStyle w:val="BodyText"/>
      </w:pPr>
      <w:r>
        <w:rPr>
          <w:i/>
          <w:iCs/>
        </w:rPr>
        <w:t xml:space="preserve">Remark 10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4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45"/>
    <w:bookmarkStart w:id="146" w:name="exm-expand-index-shorthand"/>
    <w:p>
      <w:pPr>
        <w:pStyle w:val="BodyText"/>
      </w:pPr>
      <w:r>
        <w:rPr>
          <w:b/>
          <w:bCs/>
        </w:rPr>
        <w:t xml:space="preserve">Example 27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46"/>
    <w:bookmarkStart w:id="172" w:name="refs"/>
    <w:bookmarkStart w:id="148" w:name="ref-wikipedia_line_segmen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https://en.wikipedia.org/wiki/Line_segment</w:t>
        </w:r>
      </w:hyperlink>
    </w:p>
    <w:bookmarkEnd w:id="148"/>
    <w:bookmarkStart w:id="150" w:name="ref-wikipedia_chord_geomet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https://en.wikipedia.org/wiki/Chord_(geometry)</w:t>
        </w:r>
      </w:hyperlink>
    </w:p>
    <w:bookmarkEnd w:id="150"/>
    <w:bookmarkStart w:id="152" w:name="ref-wikipedia_convex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https://en.wikipedia.org/wiki/Convex_function</w:t>
        </w:r>
      </w:hyperlink>
    </w:p>
    <w:bookmarkEnd w:id="152"/>
    <w:bookmarkStart w:id="154" w:name="ref-wikipedia_jensen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https://en.wikipedia.org/wiki/Jensen%27s_inequality</w:t>
        </w:r>
      </w:hyperlink>
    </w:p>
    <w:bookmarkEnd w:id="154"/>
    <w:bookmarkStart w:id="156" w:name="ref-wikipedia_upper_and_lower_bound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https://en.wikipedia.org/wiki/Upper_and_lower_bounds</w:t>
        </w:r>
      </w:hyperlink>
    </w:p>
    <w:bookmarkEnd w:id="156"/>
    <w:bookmarkStart w:id="158" w:name="ref-wikipedia_least_upper_bound_proper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https://en.wikipedia.org/wiki/Least-upper-bound_property</w:t>
        </w:r>
      </w:hyperlink>
    </w:p>
    <w:bookmarkEnd w:id="158"/>
    <w:bookmarkStart w:id="159" w:name="ref-rudin1976principle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59"/>
    <w:bookmarkStart w:id="161" w:name="ref-wikipedia_infimum_and_supremu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https://en.wikipedia.org/wiki/Infimum_and_supremum</w:t>
        </w:r>
      </w:hyperlink>
    </w:p>
    <w:bookmarkEnd w:id="161"/>
    <w:bookmarkStart w:id="163" w:name="ref-wikipedia_identity_elem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https://en.wikipedia.org/wiki/Identity_element</w:t>
        </w:r>
      </w:hyperlink>
    </w:p>
    <w:bookmarkEnd w:id="163"/>
    <w:bookmarkStart w:id="165" w:name="ref-wikipedia_commutative_proper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https://en.wikipedia.org/wiki/Commutative_property</w:t>
        </w:r>
      </w:hyperlink>
    </w:p>
    <w:bookmarkEnd w:id="165"/>
    <w:bookmarkStart w:id="167" w:name="ref-wikipedia_associative_proper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https://en.wikipedia.org/wiki/Associative_property</w:t>
        </w:r>
      </w:hyperlink>
    </w:p>
    <w:bookmarkEnd w:id="167"/>
    <w:bookmarkStart w:id="169" w:name="ref-wikipedia_distributive_propert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https://en.wikipedia.org/wiki/Distributive_property</w:t>
        </w:r>
      </w:hyperlink>
    </w:p>
    <w:bookmarkEnd w:id="169"/>
    <w:bookmarkStart w:id="171" w:name="ref-wikipedia_like_term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https://en.wikipedia.org/wiki/Like_terms</w:t>
        </w:r>
      </w:hyperlink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7" Target="media/rId137.png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3" Target="algebra-exponentials.html#def-sequence-limit" TargetMode="External" /><Relationship Type="http://schemas.openxmlformats.org/officeDocument/2006/relationships/hyperlink" Id="rId132" Target="calculus-derivatives.html#def-limit" TargetMode="External" /><Relationship Type="http://schemas.openxmlformats.org/officeDocument/2006/relationships/hyperlink" Id="rId144" Target="calculus-integration.html#def-indefinite-integral" TargetMode="External" /><Relationship Type="http://schemas.openxmlformats.org/officeDocument/2006/relationships/hyperlink" Id="rId127" Target="calculus-integration.html#def-riemann-integral" TargetMode="External" /><Relationship Type="http://schemas.openxmlformats.org/officeDocument/2006/relationships/hyperlink" Id="rId97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2" Target="functions.qmd#def-range" TargetMode="External" /><Relationship Type="http://schemas.openxmlformats.org/officeDocument/2006/relationships/hyperlink" Id="rId166" Target="https://en.wikipedia.org/wiki/Associative_property" TargetMode="External" /><Relationship Type="http://schemas.openxmlformats.org/officeDocument/2006/relationships/hyperlink" Id="rId149" Target="https://en.wikipedia.org/wiki/Chord_(geometry)" TargetMode="External" /><Relationship Type="http://schemas.openxmlformats.org/officeDocument/2006/relationships/hyperlink" Id="rId164" Target="https://en.wikipedia.org/wiki/Commutative_property" TargetMode="External" /><Relationship Type="http://schemas.openxmlformats.org/officeDocument/2006/relationships/hyperlink" Id="rId151" Target="https://en.wikipedia.org/wiki/Convex_function" TargetMode="External" /><Relationship Type="http://schemas.openxmlformats.org/officeDocument/2006/relationships/hyperlink" Id="rId168" Target="https://en.wikipedia.org/wiki/Distributive_property" TargetMode="External" /><Relationship Type="http://schemas.openxmlformats.org/officeDocument/2006/relationships/hyperlink" Id="rId162" Target="https://en.wikipedia.org/wiki/Identity_element" TargetMode="External" /><Relationship Type="http://schemas.openxmlformats.org/officeDocument/2006/relationships/hyperlink" Id="rId160" Target="https://en.wikipedia.org/wiki/Infimum_and_supremum" TargetMode="External" /><Relationship Type="http://schemas.openxmlformats.org/officeDocument/2006/relationships/hyperlink" Id="rId153" Target="https://en.wikipedia.org/wiki/Jensen%27s_inequality" TargetMode="External" /><Relationship Type="http://schemas.openxmlformats.org/officeDocument/2006/relationships/hyperlink" Id="rId157" Target="https://en.wikipedia.org/wiki/Least-upper-bound_property" TargetMode="External" /><Relationship Type="http://schemas.openxmlformats.org/officeDocument/2006/relationships/hyperlink" Id="rId170" Target="https://en.wikipedia.org/wiki/Like_terms" TargetMode="External" /><Relationship Type="http://schemas.openxmlformats.org/officeDocument/2006/relationships/hyperlink" Id="rId147" Target="https://en.wikipedia.org/wiki/Line_segment" TargetMode="External" /><Relationship Type="http://schemas.openxmlformats.org/officeDocument/2006/relationships/hyperlink" Id="rId118" Target="https://en.wikipedia.org/wiki/Population_proportion" TargetMode="External" /><Relationship Type="http://schemas.openxmlformats.org/officeDocument/2006/relationships/hyperlink" Id="rId125" Target="https://en.wikipedia.org/wiki/Population_proportion#Mathematical_definition" TargetMode="External" /><Relationship Type="http://schemas.openxmlformats.org/officeDocument/2006/relationships/hyperlink" Id="rId119" Target="https://en.wikipedia.org/wiki/Proportion_(mathematics)" TargetMode="External" /><Relationship Type="http://schemas.openxmlformats.org/officeDocument/2006/relationships/hyperlink" Id="rId122" Target="https://en.wikipedia.org/wiki/Proportionality_(mathematics)" TargetMode="External" /><Relationship Type="http://schemas.openxmlformats.org/officeDocument/2006/relationships/hyperlink" Id="rId114" Target="https://en.wikipedia.org/wiki/Rate_(mathematics)" TargetMode="External" /><Relationship Type="http://schemas.openxmlformats.org/officeDocument/2006/relationships/hyperlink" Id="rId115" Target="https://en.wikipedia.org/wiki/Ratio" TargetMode="External" /><Relationship Type="http://schemas.openxmlformats.org/officeDocument/2006/relationships/hyperlink" Id="rId155" Target="https://en.wikipedia.org/wiki/Upper_and_lower_bounds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8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3" Target="algebra-exponentials.html#def-sequence-limit" TargetMode="External" /><Relationship Type="http://schemas.openxmlformats.org/officeDocument/2006/relationships/hyperlink" Id="rId132" Target="calculus-derivatives.html#def-limit" TargetMode="External" /><Relationship Type="http://schemas.openxmlformats.org/officeDocument/2006/relationships/hyperlink" Id="rId144" Target="calculus-integration.html#def-indefinite-integral" TargetMode="External" /><Relationship Type="http://schemas.openxmlformats.org/officeDocument/2006/relationships/hyperlink" Id="rId127" Target="calculus-integration.html#def-riemann-integral" TargetMode="External" /><Relationship Type="http://schemas.openxmlformats.org/officeDocument/2006/relationships/hyperlink" Id="rId97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2" Target="functions.qmd#def-range" TargetMode="External" /><Relationship Type="http://schemas.openxmlformats.org/officeDocument/2006/relationships/hyperlink" Id="rId166" Target="https://en.wikipedia.org/wiki/Associative_property" TargetMode="External" /><Relationship Type="http://schemas.openxmlformats.org/officeDocument/2006/relationships/hyperlink" Id="rId149" Target="https://en.wikipedia.org/wiki/Chord_(geometry)" TargetMode="External" /><Relationship Type="http://schemas.openxmlformats.org/officeDocument/2006/relationships/hyperlink" Id="rId164" Target="https://en.wikipedia.org/wiki/Commutative_property" TargetMode="External" /><Relationship Type="http://schemas.openxmlformats.org/officeDocument/2006/relationships/hyperlink" Id="rId151" Target="https://en.wikipedia.org/wiki/Convex_function" TargetMode="External" /><Relationship Type="http://schemas.openxmlformats.org/officeDocument/2006/relationships/hyperlink" Id="rId168" Target="https://en.wikipedia.org/wiki/Distributive_property" TargetMode="External" /><Relationship Type="http://schemas.openxmlformats.org/officeDocument/2006/relationships/hyperlink" Id="rId162" Target="https://en.wikipedia.org/wiki/Identity_element" TargetMode="External" /><Relationship Type="http://schemas.openxmlformats.org/officeDocument/2006/relationships/hyperlink" Id="rId160" Target="https://en.wikipedia.org/wiki/Infimum_and_supremum" TargetMode="External" /><Relationship Type="http://schemas.openxmlformats.org/officeDocument/2006/relationships/hyperlink" Id="rId153" Target="https://en.wikipedia.org/wiki/Jensen%27s_inequality" TargetMode="External" /><Relationship Type="http://schemas.openxmlformats.org/officeDocument/2006/relationships/hyperlink" Id="rId157" Target="https://en.wikipedia.org/wiki/Least-upper-bound_property" TargetMode="External" /><Relationship Type="http://schemas.openxmlformats.org/officeDocument/2006/relationships/hyperlink" Id="rId170" Target="https://en.wikipedia.org/wiki/Like_terms" TargetMode="External" /><Relationship Type="http://schemas.openxmlformats.org/officeDocument/2006/relationships/hyperlink" Id="rId147" Target="https://en.wikipedia.org/wiki/Line_segment" TargetMode="External" /><Relationship Type="http://schemas.openxmlformats.org/officeDocument/2006/relationships/hyperlink" Id="rId118" Target="https://en.wikipedia.org/wiki/Population_proportion" TargetMode="External" /><Relationship Type="http://schemas.openxmlformats.org/officeDocument/2006/relationships/hyperlink" Id="rId125" Target="https://en.wikipedia.org/wiki/Population_proportion#Mathematical_definition" TargetMode="External" /><Relationship Type="http://schemas.openxmlformats.org/officeDocument/2006/relationships/hyperlink" Id="rId119" Target="https://en.wikipedia.org/wiki/Proportion_(mathematics)" TargetMode="External" /><Relationship Type="http://schemas.openxmlformats.org/officeDocument/2006/relationships/hyperlink" Id="rId122" Target="https://en.wikipedia.org/wiki/Proportionality_(mathematics)" TargetMode="External" /><Relationship Type="http://schemas.openxmlformats.org/officeDocument/2006/relationships/hyperlink" Id="rId114" Target="https://en.wikipedia.org/wiki/Rate_(mathematics)" TargetMode="External" /><Relationship Type="http://schemas.openxmlformats.org/officeDocument/2006/relationships/hyperlink" Id="rId115" Target="https://en.wikipedia.org/wiki/Ratio" TargetMode="External" /><Relationship Type="http://schemas.openxmlformats.org/officeDocument/2006/relationships/hyperlink" Id="rId155" Target="https://en.wikipedia.org/wiki/Upper_and_lower_bounds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8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2026-10-22T08:05:22Z</dcterms:created>
  <dcterms:modified xsi:type="dcterms:W3CDTF">2026-10-22T08:05:22Z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00:50:13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