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10:07:44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5"/>
    <w:bookmarkStart w:id="42" w:name="sec-notation-naturals"/>
    <w:p>
      <w:pPr>
        <w:pStyle w:val="Heading2"/>
      </w:pPr>
      <w:r>
        <w:t xml:space="preserve">2 Natural numbers</w:t>
      </w:r>
    </w:p>
    <w:bookmarkStart w:id="2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6"/>
    <w:bookmarkStart w:id="2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7"/>
    <w:bookmarkStart w:id="28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28"/>
    <w:bookmarkStart w:id="29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29"/>
    <w:bookmarkStart w:id="30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0"/>
    <w:bookmarkStart w:id="31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1"/>
    <w:bookmarkStart w:id="32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3"/>
    <w:bookmarkStart w:id="34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4"/>
    <w:bookmarkStart w:id="35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5"/>
    <w:bookmarkStart w:id="36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42"/>
    <w:bookmarkStart w:id="53" w:name="sec-notation-reals"/>
    <w:p>
      <w:pPr>
        <w:pStyle w:val="Heading2"/>
      </w:pPr>
      <w:r>
        <w:t xml:space="preserve">3 Rational, real, and irrational numbers</w:t>
      </w:r>
    </w:p>
    <w:bookmarkStart w:id="43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43"/>
    <w:bookmarkStart w:id="44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4"/>
    <w:bookmarkStart w:id="45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5"/>
    <w:bookmarkStart w:id="46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7"/>
    <w:bookmarkStart w:id="48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52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9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52"/>
    <w:bookmarkEnd w:id="53"/>
    <w:bookmarkStart w:id="57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5" w:name="def-percent"/>
    <w:p>
      <w:pPr>
        <w:pStyle w:val="BodyText"/>
      </w:pPr>
      <w:r>
        <w:rPr>
          <w:b/>
          <w:bCs/>
        </w:rPr>
        <w:t xml:space="preserve">Definition 11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5"/>
    <w:bookmarkStart w:id="5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7"/>
    <w:bookmarkStart w:id="9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8" w:name="def-indicator-function"/>
    <w:p>
      <w:pPr>
        <w:pStyle w:val="BodyText"/>
      </w:pPr>
      <w:r>
        <w:rPr>
          <w:b/>
          <w:bCs/>
        </w:rPr>
        <w:t xml:space="preserve">Definition 12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8"/>
    <w:bookmarkStart w:id="59" w:name="def-predicate-indicator"/>
    <w:p>
      <w:pPr>
        <w:pStyle w:val="FirstParagraph"/>
      </w:pPr>
      <w:r>
        <w:rPr>
          <w:b/>
          <w:bCs/>
        </w:rPr>
        <w:t xml:space="preserve">Definition 13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9"/>
    <w:bookmarkStart w:id="60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bookmarkStart w:id="61" w:name="def-binary-variable"/>
    <w:p>
      <w:pPr>
        <w:pStyle w:val="FirstParagraph"/>
      </w:pPr>
      <w:r>
        <w:rPr>
          <w:b/>
          <w:bCs/>
        </w:rPr>
        <w:t xml:space="preserve">Definition 14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bookmarkStart w:id="73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3" w:name="def-set-predicate-notation"/>
    <w:p>
      <w:pPr>
        <w:pStyle w:val="BodyText"/>
      </w:pPr>
      <w:r>
        <w:rPr>
          <w:b/>
          <w:bCs/>
        </w:rPr>
        <w:t xml:space="preserve">Definition 15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5" w:name="def-predicate-notation"/>
    <w:p>
      <w:pPr>
        <w:pStyle w:val="BodyText"/>
      </w:pPr>
      <w:r>
        <w:rPr>
          <w:b/>
          <w:bCs/>
        </w:rPr>
        <w:t xml:space="preserve">Definition 16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5"/>
    <w:bookmarkStart w:id="66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6"/>
    <w:bookmarkStart w:id="67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7"/>
    <w:bookmarkStart w:id="6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9"/>
    <w:bookmarkStart w:id="7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70" w:name="def-support"/>
    <w:p>
      <w:pPr>
        <w:pStyle w:val="FirstParagraph"/>
      </w:pPr>
      <w:r>
        <w:rPr>
          <w:b/>
          <w:bCs/>
        </w:rPr>
        <w:t xml:space="preserve">Definition 17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70"/>
    <w:bookmarkStart w:id="71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7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72"/>
    <w:bookmarkEnd w:id="73"/>
    <w:bookmarkStart w:id="80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5" w:name="def-iverson-bracket"/>
    <w:p>
      <w:pPr>
        <w:pStyle w:val="BodyText"/>
      </w:pPr>
      <w:r>
        <w:rPr>
          <w:b/>
          <w:bCs/>
        </w:rPr>
        <w:t xml:space="preserve">Definition 18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5"/>
    <w:bookmarkStart w:id="76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6"/>
    <w:bookmarkStart w:id="77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78" w:name="def-kronecker-delta"/>
    <w:p>
      <w:pPr>
        <w:pStyle w:val="FirstParagraph"/>
      </w:pPr>
      <w:r>
        <w:rPr>
          <w:b/>
          <w:bCs/>
        </w:rPr>
        <w:t xml:space="preserve">Definition 19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78"/>
    <w:bookmarkStart w:id="79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9"/>
    <w:bookmarkEnd w:id="80"/>
    <w:bookmarkStart w:id="8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8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4"/>
    <w:bookmarkStart w:id="8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5"/>
          <w:p/>
        </w:tc>
      </w:tr>
    </w:tbl>
    <w:bookmarkEnd w:id="86"/>
    <w:bookmarkStart w:id="8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7"/>
    <w:bookmarkStart w:id="9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90" w:name="def-idempotent"/>
    <w:p>
      <w:pPr>
        <w:pStyle w:val="BodyText"/>
      </w:pPr>
      <w:r>
        <w:rPr>
          <w:b/>
          <w:bCs/>
        </w:rPr>
        <w:t xml:space="preserve">Definition 20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9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90"/>
    <w:bookmarkStart w:id="92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1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92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9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20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95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7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8"/>
    <w:bookmarkEnd w:id="99"/>
    <w:bookmarkStart w:id="122" w:name="sec-notational-shorthands"/>
    <w:p>
      <w:pPr>
        <w:pStyle w:val="Heading2"/>
      </w:pPr>
      <w:r>
        <w:t xml:space="preserve">6 Notational shorthands</w:t>
      </w:r>
    </w:p>
    <w:bookmarkStart w:id="102" w:name="def-lower-upper-limits"/>
    <w:p>
      <w:pPr>
        <w:pStyle w:val="FirstParagraph"/>
      </w:pPr>
      <w:r>
        <w:rPr>
          <w:b/>
          <w:bCs/>
        </w:rPr>
        <w:t xml:space="preserve">Definition 21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02"/>
    <w:bookmarkStart w:id="103" w:name="def-upper-limit"/>
    <w:p>
      <w:pPr>
        <w:pStyle w:val="BodyText"/>
      </w:pPr>
      <w:r>
        <w:rPr>
          <w:b/>
          <w:bCs/>
        </w:rPr>
        <w:t xml:space="preserve">Definition 22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03"/>
    <w:bookmarkStart w:id="104" w:name="def-limits-of-integration"/>
    <w:p>
      <w:pPr>
        <w:pStyle w:val="BodyText"/>
      </w:pPr>
      <w:r>
        <w:rPr>
          <w:b/>
          <w:bCs/>
        </w:rPr>
        <w:t xml:space="preserve">Definition 23 (Limits of integration)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04"/>
    <w:bookmarkStart w:id="105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05"/>
    <w:bookmarkStart w:id="108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06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07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8"/>
    <w:bookmarkStart w:id="109" w:name="def-notational-shorthand"/>
    <w:p>
      <w:pPr>
        <w:pStyle w:val="BodyText"/>
      </w:pPr>
      <w:r>
        <w:rPr>
          <w:b/>
          <w:bCs/>
        </w:rPr>
        <w:t xml:space="preserve">Definition 24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09"/>
    <w:bookmarkStart w:id="110" w:name="def-full-form"/>
    <w:p>
      <w:pPr>
        <w:pStyle w:val="BodyText"/>
      </w:pPr>
      <w:r>
        <w:rPr>
          <w:b/>
          <w:bCs/>
        </w:rPr>
        <w:t xml:space="preserve">Definition 25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1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13" w:name="def-range-of-variable"/>
    <w:p>
      <w:pPr>
        <w:pStyle w:val="FirstParagraph"/>
      </w:pPr>
      <w:r>
        <w:rPr>
          <w:b/>
          <w:bCs/>
        </w:rPr>
        <w:t xml:space="preserve">Definition 26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1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1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00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18"/>
          <w:p/>
        </w:tc>
      </w:tr>
    </w:tbl>
    <w:bookmarkStart w:id="120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20"/>
    <w:bookmarkStart w:id="121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1"/>
    <w:bookmarkEnd w:id="122"/>
    <w:bookmarkStart w:id="129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2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2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2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2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2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2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9"/>
    <w:bookmarkStart w:id="13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3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3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3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3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3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3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35"/>
    <w:bookmarkStart w:id="13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3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37"/>
    <w:bookmarkStart w:id="13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8"/>
    <w:bookmarkStart w:id="14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3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9" Target="https://doi.org/10.1017/9781108539890" TargetMode="External" /><Relationship Type="http://schemas.openxmlformats.org/officeDocument/2006/relationships/hyperlink" Id="rId136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4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-functions.qmd" TargetMode="External" /><Relationship Type="http://schemas.openxmlformats.org/officeDocument/2006/relationships/hyperlink" Id="rId82" Target="sets-functions.qmd#def-closed-interval" TargetMode="External" /><Relationship Type="http://schemas.openxmlformats.org/officeDocument/2006/relationships/hyperlink" Id="rId93" Target="sets-functions.qmd#def-complement" TargetMode="External" /><Relationship Type="http://schemas.openxmlformats.org/officeDocument/2006/relationships/hyperlink" Id="rId89" Target="sets-functions.qmd#def-domain" TargetMode="External" /><Relationship Type="http://schemas.openxmlformats.org/officeDocument/2006/relationships/hyperlink" Id="rId81" Target="sets-functions.qmd#def-finite-set" TargetMode="External" /><Relationship Type="http://schemas.openxmlformats.org/officeDocument/2006/relationships/hyperlink" Id="rId114" Target="sets-functions.qmd#def-function" TargetMode="External" /><Relationship Type="http://schemas.openxmlformats.org/officeDocument/2006/relationships/hyperlink" Id="rId115" Target="sets-functions.qmd#def-image" TargetMode="External" /><Relationship Type="http://schemas.openxmlformats.org/officeDocument/2006/relationships/hyperlink" Id="rId11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9" Target="https://doi.org/10.1017/9781108539890" TargetMode="External" /><Relationship Type="http://schemas.openxmlformats.org/officeDocument/2006/relationships/hyperlink" Id="rId136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4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-functions.qmd" TargetMode="External" /><Relationship Type="http://schemas.openxmlformats.org/officeDocument/2006/relationships/hyperlink" Id="rId82" Target="sets-functions.qmd#def-closed-interval" TargetMode="External" /><Relationship Type="http://schemas.openxmlformats.org/officeDocument/2006/relationships/hyperlink" Id="rId93" Target="sets-functions.qmd#def-complement" TargetMode="External" /><Relationship Type="http://schemas.openxmlformats.org/officeDocument/2006/relationships/hyperlink" Id="rId89" Target="sets-functions.qmd#def-domain" TargetMode="External" /><Relationship Type="http://schemas.openxmlformats.org/officeDocument/2006/relationships/hyperlink" Id="rId81" Target="sets-functions.qmd#def-finite-set" TargetMode="External" /><Relationship Type="http://schemas.openxmlformats.org/officeDocument/2006/relationships/hyperlink" Id="rId114" Target="sets-functions.qmd#def-function" TargetMode="External" /><Relationship Type="http://schemas.openxmlformats.org/officeDocument/2006/relationships/hyperlink" Id="rId115" Target="sets-functions.qmd#def-image" TargetMode="External" /><Relationship Type="http://schemas.openxmlformats.org/officeDocument/2006/relationships/hyperlink" Id="rId11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2026-10-15T18:00:32Z</dcterms:created>
  <dcterms:modified xsi:type="dcterms:W3CDTF">2026-10-15T18:00:32Z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