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2026-10-30 00:52:40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7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thm-inner-product-sign"/>
    <w:p>
      <w:pPr>
        <w:pStyle w:val="FirstParagraph"/>
      </w:pPr>
      <w:r>
        <w:rPr>
          <w:b/>
          <w:bCs/>
        </w:rPr>
        <w:t xml:space="preserve">Theorem 6 (The sign of the inner product)</w:t>
      </w:r>
      <w:r>
        <w:t xml:space="preserve"> </w:t>
      </w:r>
      <w:r>
        <w:t xml:space="preserve">For nonzero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with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them,</w:t>
      </w:r>
    </w:p>
    <w:p>
      <w:pPr>
        <w:pStyle w:val="BodyText"/>
      </w:pPr>
      <w:r>
        <w:t xml:space="preserve">$$\mathord{\smash[b]{\underset{\raise.3ex\hbox{$\scriptstyle\sim$}}{x}}\vphantom{x}} \cdot \mathord{\smash[b]{\underset{\raise.3ex\hbox{$\scriptstyle\sim$}}{y}}\vphantom{y}} = \mathopen{}\left\lVert\mathord{\smash[b]{\underset{\raise.3ex\hbox{$\scriptstyle\sim$}}{x}}\vphantom{x}}\right\rVert\mathclose{}_2 \mathopen{}\left\lVert\mathord{\smash[b]{\underset{\raise.3ex\hbox{$\scriptstyle\sim$}}{y}}\vphantom{y}}\right\rVert\mathclose{}_2 \cos\theta,$$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&gt; 0$</w:t>
      </w:r>
      <w:r>
        <w:t xml:space="preserve"> </w:t>
      </w:r>
      <w:r>
        <w:t xml:space="preserve">when the vectors point broadly in the same</w:t>
      </w:r>
      <w:r>
        <w:t xml:space="preserve"> </w:t>
      </w:r>
      <w:hyperlink r:id="rId59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exactly when the vectors are</w:t>
      </w:r>
      <w:r>
        <w:t xml:space="preserve"> </w:t>
      </w:r>
      <w:hyperlink r:id="rId60">
        <w:r>
          <w:rPr>
            <w:rStyle w:val="Hyperlink"/>
          </w:rPr>
          <w:t xml:space="preserve">orthogonal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&lt; 0$</w:t>
      </w:r>
      <w:r>
        <w:t xml:space="preserve"> </w:t>
      </w:r>
      <w:r>
        <w:t xml:space="preserve">when the vectors point broadly in opposing directions (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/ (\mathopen{}\left\lVert\mathord{\smash[b]{\underset{\raise.3ex\hbox{$\scriptstyle\sim$}}{x}}\vphantom{x}}\right\rVert\mathclose{}_2 \mathopen{}\left\lVert\mathord{\smash[b]{\underset{\raise.3ex\hbox{$\scriptstyle\sim$}}{y}}\vphantom{y}}\right\rVert\mathclose{}_2)$</w:t>
      </w:r>
      <w:r>
        <w:t xml:space="preserve">,</w:t>
      </w:r>
      <w:r>
        <w:t xml:space="preserve"> </w:t>
      </w:r>
      <w:r>
        <w:t xml:space="preserve">which gives the displayed equation.</w:t>
      </w:r>
      <w:r>
        <w:t xml:space="preserve"> </w:t>
      </w:r>
      <w:r>
        <w:t xml:space="preserve">Both vectors are nonzero, so their</w:t>
      </w:r>
      <w:r>
        <w:t xml:space="preserve"> </w:t>
      </w:r>
      <w:hyperlink r:id="rId62">
        <w:r>
          <w:rPr>
            <w:rStyle w:val="Hyperlink"/>
          </w:rPr>
          <w:t xml:space="preserve">norms</w:t>
        </w:r>
      </w:hyperlink>
      <w:r>
        <w:t xml:space="preserve"> </w:t>
      </w:r>
      <w:r>
        <w:t xml:space="preserve">are positive,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\mathord{\smash[b]{\underset{\raise.3ex\hbox{$\scriptstyle\sim$}}{y}}\vphantom{y}}$</w:t>
      </w:r>
      <w:r>
        <w:t xml:space="preserve"> </w:t>
      </w:r>
      <w:r>
        <w:t xml:space="preserve">has the sign of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is positive for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zero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negative for</w:t>
      </w:r>
      <w:r>
        <w:t xml:space="preserve"> 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63" w:name="exm-inner-product-sign"/>
    <w:p>
      <w:pPr>
        <w:pStyle w:val="BodyText"/>
      </w:pPr>
      <w:r>
        <w:rPr>
          <w:b/>
          <w:bCs/>
        </w:rPr>
        <w:t xml:space="preserve">Example 15 (The sign of the inner product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</w:t>
      </w:r>
      <w:r>
        <w:t xml:space="preserve"> </w:t>
      </w:r>
      <w:hyperlink w:anchor="def-inner-product">
        <w:r>
          <w:rPr>
            <w:rStyle w:val="Hyperlink"/>
          </w:rPr>
          <w:t xml:space="preserve">inner product</w:t>
        </w:r>
      </w:hyperlink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These are the pairs of</w:t>
      </w:r>
      <w:r>
        <w:t xml:space="preserve"> </w:t>
      </w:r>
      <w:hyperlink w:anchor="exm-angl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3"/>
    <w:bookmarkStart w:id="66" w:name="rem-angle-unit-circle-angle"/>
    <w:p>
      <w:pPr>
        <w:pStyle w:val="BodyText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6"/>
    <w:bookmarkStart w:id="67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7"/>
    <w:bookmarkStart w:id="68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70" w:name="thm-pearson-cosine-centered"/>
    <w:p>
      <w:pPr>
        <w:pStyle w:val="FirstParagraph"/>
      </w:pPr>
      <w:r>
        <w:rPr>
          <w:b/>
          <w:bCs/>
        </w:rPr>
        <w:t xml:space="preserve">Theorem 7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7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71"/>
    <w:bookmarkStart w:id="72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73" w:name="exm-pearson-angle"/>
    <w:p>
      <w:pPr>
        <w:pStyle w:val="BodyText"/>
      </w:pPr>
      <w:r>
        <w:rPr>
          <w:b/>
          <w:bCs/>
        </w:rPr>
        <w:t xml:space="preserve">Example 17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16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73"/>
    <w:bookmarkEnd w:id="74"/>
    <w:bookmarkStart w:id="10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7" w:name="thm-dot-linear-sum"/>
    <w:p>
      <w:pPr>
        <w:pStyle w:val="BodyText"/>
      </w:pPr>
      <w:r>
        <w:rPr>
          <w:b/>
          <w:bCs/>
        </w:rPr>
        <w:t xml:space="preserve">Theorem 8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8" w:name="exm-dot-linear-sum"/>
    <w:p>
      <w:pPr>
        <w:pStyle w:val="FirstParagraph"/>
      </w:pPr>
      <w:r>
        <w:rPr>
          <w:b/>
          <w:bCs/>
        </w:rPr>
        <w:t xml:space="preserve">Example 18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8"/>
    <w:bookmarkStart w:id="80" w:name="thm-orthonormal-independent"/>
    <w:p>
      <w:pPr>
        <w:pStyle w:val="BodyText"/>
      </w:pPr>
      <w:r>
        <w:rPr>
          <w:b/>
          <w:bCs/>
        </w:rPr>
        <w:t xml:space="preserve">Theorem 9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81" w:name="exm-orthonormal-independent"/>
    <w:p>
      <w:pPr>
        <w:pStyle w:val="BodyText"/>
      </w:pPr>
      <w:r>
        <w:rPr>
          <w:b/>
          <w:bCs/>
        </w:rPr>
        <w:t xml:space="preserve">Example 19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1"/>
    <w:bookmarkStart w:id="8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83"/>
    <w:bookmarkStart w:id="87" w:name="exm-orthonormal-basis"/>
    <w:p>
      <w:pPr>
        <w:pStyle w:val="BodyText"/>
      </w:pPr>
      <w:r>
        <w:rPr>
          <w:b/>
          <w:bCs/>
        </w:rPr>
        <w:t xml:space="preserve">Example 20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7"/>
    <w:bookmarkStart w:id="90" w:name="exm-not-orthonormal-basis"/>
    <w:p>
      <w:pPr>
        <w:pStyle w:val="FirstParagraph"/>
      </w:pPr>
      <w:r>
        <w:rPr>
          <w:b/>
          <w:bCs/>
        </w:rPr>
        <w:t xml:space="preserve">Example 21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thm-orthonormal-expansion"/>
    <w:p>
      <w:pPr>
        <w:pStyle w:val="FirstParagraph"/>
      </w:pPr>
      <w:r>
        <w:rPr>
          <w:b/>
          <w:bCs/>
        </w:rPr>
        <w:t xml:space="preserve">Theorem 10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92" w:name="exm-orthonormal-expansion"/>
    <w:p>
      <w:pPr>
        <w:pStyle w:val="BodyText"/>
      </w:pPr>
      <w:r>
        <w:rPr>
          <w:b/>
          <w:bCs/>
        </w:rPr>
        <w:t xml:space="preserve">Example 22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says.</w:t>
      </w:r>
    </w:p>
    <w:bookmarkEnd w:id="92"/>
    <w:bookmarkStart w:id="9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93"/>
    <w:bookmarkStart w:id="94" w:name="exm-gram-schmidt"/>
    <w:p>
      <w:pPr>
        <w:pStyle w:val="BodyText"/>
      </w:pPr>
      <w:r>
        <w:rPr>
          <w:b/>
          <w:bCs/>
        </w:rPr>
        <w:t xml:space="preserve">Example 23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94"/>
    <w:bookmarkStart w:id="95" w:name="exm-gram-schmidt-stops"/>
    <w:p>
      <w:pPr>
        <w:pStyle w:val="FirstParagraph"/>
      </w:pPr>
      <w:r>
        <w:rPr>
          <w:b/>
          <w:bCs/>
        </w:rPr>
        <w:t xml:space="preserve">Example 24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5"/>
    <w:bookmarkStart w:id="96" w:name="thm-gram-schmidt"/>
    <w:p>
      <w:pPr>
        <w:pStyle w:val="BodyText"/>
      </w:pPr>
      <w:r>
        <w:rPr>
          <w:b/>
          <w:bCs/>
        </w:rPr>
        <w:t xml:space="preserve">Theorem 11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\text{(}\text{Theorem~8}\text{)}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101" w:name="exm-thm-gram-schmidt"/>
    <w:p>
      <w:pPr>
        <w:pStyle w:val="BodyText"/>
      </w:pPr>
      <w:r>
        <w:rPr>
          <w:b/>
          <w:bCs/>
        </w:rPr>
        <w:t xml:space="preserve">Example 25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101"/>
    <w:bookmarkStart w:id="10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5" w:name="exm-orthonormal-basis-exists"/>
    <w:p>
      <w:pPr>
        <w:pStyle w:val="BodyText"/>
      </w:pPr>
      <w:r>
        <w:rPr>
          <w:b/>
          <w:bCs/>
        </w:rPr>
        <w:t xml:space="preserve">Example 26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10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, in a different order.</w:t>
      </w:r>
    </w:p>
    <w:bookmarkEnd w:id="105"/>
    <w:bookmarkEnd w:id="106"/>
    <w:bookmarkStart w:id="144" w:name="outer-product"/>
    <w:p>
      <w:pPr>
        <w:pStyle w:val="Heading2"/>
      </w:pPr>
      <w:r>
        <w:t xml:space="preserve">4 Outer product</w:t>
      </w:r>
    </w:p>
    <w:bookmarkStart w:id="10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8"/>
    <w:bookmarkStart w:id="109" w:name="exm-outer-product"/>
    <w:p>
      <w:pPr>
        <w:pStyle w:val="FirstParagraph"/>
      </w:pPr>
      <w:r>
        <w:rPr>
          <w:b/>
          <w:bCs/>
        </w:rPr>
        <w:t xml:space="preserve">Example 27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9"/>
    <w:bookmarkStart w:id="111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11"/>
    <w:bookmarkStart w:id="113" w:name="thm-outer-product-rank"/>
    <w:p>
      <w:pPr>
        <w:pStyle w:val="FirstParagraph"/>
      </w:pPr>
      <w:r>
        <w:rPr>
          <w:b/>
          <w:bCs/>
        </w:rPr>
        <w:t xml:space="preserve">Theorem 12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14" w:name="exm-outer-product-rank"/>
    <w:p>
      <w:pPr>
        <w:pStyle w:val="BodyText"/>
      </w:pPr>
      <w:r>
        <w:rPr>
          <w:b/>
          <w:bCs/>
        </w:rPr>
        <w:t xml:space="preserve">Example 28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14"/>
    <w:bookmarkStart w:id="143" w:name="refs"/>
    <w:bookmarkStart w:id="116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https://en.wikipedia.org/wiki/Inner_product_space</w:t>
        </w:r>
      </w:hyperlink>
    </w:p>
    <w:bookmarkEnd w:id="116"/>
    <w:bookmarkStart w:id="11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8"/>
    <w:bookmarkStart w:id="120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20"/>
    <w:bookmarkStart w:id="122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22"/>
    <w:bookmarkStart w:id="124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https://en.wikipedia.org/wiki/Pythagorean_theorem</w:t>
        </w:r>
      </w:hyperlink>
    </w:p>
    <w:bookmarkEnd w:id="124"/>
    <w:bookmarkStart w:id="126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https://en.wikipedia.org/wiki/Cauchy%E2%80%93Schwarz_inequality</w:t>
        </w:r>
      </w:hyperlink>
    </w:p>
    <w:bookmarkEnd w:id="126"/>
    <w:bookmarkStart w:id="128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https://en.wikipedia.org/wiki/Norm_(mathematics)</w:t>
        </w:r>
      </w:hyperlink>
    </w:p>
    <w:bookmarkEnd w:id="128"/>
    <w:bookmarkStart w:id="130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https://en.wikipedia.org/wiki/Triangle_inequality</w:t>
        </w:r>
      </w:hyperlink>
    </w:p>
    <w:bookmarkEnd w:id="130"/>
    <w:bookmarkStart w:id="132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https://en.wikipedia.org/wiki/Lp_space</w:t>
        </w:r>
      </w:hyperlink>
    </w:p>
    <w:bookmarkEnd w:id="132"/>
    <w:bookmarkStart w:id="134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https://en.wikipedia.org/wiki/Uniform_norm</w:t>
        </w:r>
      </w:hyperlink>
    </w:p>
    <w:bookmarkEnd w:id="134"/>
    <w:bookmarkStart w:id="136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https://en.wikipedia.org/wiki/Cosine_similarity</w:t>
        </w:r>
      </w:hyperlink>
    </w:p>
    <w:bookmarkEnd w:id="136"/>
    <w:bookmarkStart w:id="138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https://en.wikipedia.org/wiki/Orthonormal_basis</w:t>
        </w:r>
      </w:hyperlink>
    </w:p>
    <w:bookmarkEnd w:id="138"/>
    <w:bookmarkStart w:id="140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https://en.wikipedia.org/wiki/Gram%E2%80%93Schmidt_process</w:t>
        </w:r>
      </w:hyperlink>
    </w:p>
    <w:bookmarkEnd w:id="140"/>
    <w:bookmarkStart w:id="142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https://en.wikipedia.org/wiki/Outer_product</w:t>
        </w:r>
      </w:hyperlink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7" Target="https://doi.org/10.1007/978-3-031-41026-0" TargetMode="External" /><Relationship Type="http://schemas.openxmlformats.org/officeDocument/2006/relationships/hyperlink" Id="rId125" Target="https://en.wikipedia.org/wiki/Cauchy%E2%80%93Schwarz_inequality" TargetMode="External" /><Relationship Type="http://schemas.openxmlformats.org/officeDocument/2006/relationships/hyperlink" Id="rId135" Target="https://en.wikipedia.org/wiki/Cosine_similarity" TargetMode="External" /><Relationship Type="http://schemas.openxmlformats.org/officeDocument/2006/relationships/hyperlink" Id="rId139" Target="https://en.wikipedia.org/wiki/Gram%E2%80%93Schmidt_process" TargetMode="External" /><Relationship Type="http://schemas.openxmlformats.org/officeDocument/2006/relationships/hyperlink" Id="rId115" Target="https://en.wikipedia.org/wiki/Inner_product_space" TargetMode="External" /><Relationship Type="http://schemas.openxmlformats.org/officeDocument/2006/relationships/hyperlink" Id="rId131" Target="https://en.wikipedia.org/wiki/Lp_space" TargetMode="External" /><Relationship Type="http://schemas.openxmlformats.org/officeDocument/2006/relationships/hyperlink" Id="rId127" Target="https://en.wikipedia.org/wiki/Norm_(mathematics)" TargetMode="External" /><Relationship Type="http://schemas.openxmlformats.org/officeDocument/2006/relationships/hyperlink" Id="rId137" Target="https://en.wikipedia.org/wiki/Orthonormal_basis" TargetMode="External" /><Relationship Type="http://schemas.openxmlformats.org/officeDocument/2006/relationships/hyperlink" Id="rId141" Target="https://en.wikipedia.org/wiki/Outer_product" TargetMode="External" /><Relationship Type="http://schemas.openxmlformats.org/officeDocument/2006/relationships/hyperlink" Id="rId123" Target="https://en.wikipedia.org/wiki/Pythagorean_theorem" TargetMode="External" /><Relationship Type="http://schemas.openxmlformats.org/officeDocument/2006/relationships/hyperlink" Id="rId129" Target="https://en.wikipedia.org/wiki/Triangle_inequality" TargetMode="External" /><Relationship Type="http://schemas.openxmlformats.org/officeDocument/2006/relationships/hyperlink" Id="rId13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21" Target="https://ucla-biostat-216.github.io/2024fall/slides/02-vector/02-vector.html" TargetMode="External" /><Relationship Type="http://schemas.openxmlformats.org/officeDocument/2006/relationships/hyperlink" Id="rId11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59" Target="vector-calculus.qmd#def-dir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7" Target="https://doi.org/10.1007/978-3-031-41026-0" TargetMode="External" /><Relationship Type="http://schemas.openxmlformats.org/officeDocument/2006/relationships/hyperlink" Id="rId125" Target="https://en.wikipedia.org/wiki/Cauchy%E2%80%93Schwarz_inequality" TargetMode="External" /><Relationship Type="http://schemas.openxmlformats.org/officeDocument/2006/relationships/hyperlink" Id="rId135" Target="https://en.wikipedia.org/wiki/Cosine_similarity" TargetMode="External" /><Relationship Type="http://schemas.openxmlformats.org/officeDocument/2006/relationships/hyperlink" Id="rId139" Target="https://en.wikipedia.org/wiki/Gram%E2%80%93Schmidt_process" TargetMode="External" /><Relationship Type="http://schemas.openxmlformats.org/officeDocument/2006/relationships/hyperlink" Id="rId115" Target="https://en.wikipedia.org/wiki/Inner_product_space" TargetMode="External" /><Relationship Type="http://schemas.openxmlformats.org/officeDocument/2006/relationships/hyperlink" Id="rId131" Target="https://en.wikipedia.org/wiki/Lp_space" TargetMode="External" /><Relationship Type="http://schemas.openxmlformats.org/officeDocument/2006/relationships/hyperlink" Id="rId127" Target="https://en.wikipedia.org/wiki/Norm_(mathematics)" TargetMode="External" /><Relationship Type="http://schemas.openxmlformats.org/officeDocument/2006/relationships/hyperlink" Id="rId137" Target="https://en.wikipedia.org/wiki/Orthonormal_basis" TargetMode="External" /><Relationship Type="http://schemas.openxmlformats.org/officeDocument/2006/relationships/hyperlink" Id="rId141" Target="https://en.wikipedia.org/wiki/Outer_product" TargetMode="External" /><Relationship Type="http://schemas.openxmlformats.org/officeDocument/2006/relationships/hyperlink" Id="rId123" Target="https://en.wikipedia.org/wiki/Pythagorean_theorem" TargetMode="External" /><Relationship Type="http://schemas.openxmlformats.org/officeDocument/2006/relationships/hyperlink" Id="rId129" Target="https://en.wikipedia.org/wiki/Triangle_inequality" TargetMode="External" /><Relationship Type="http://schemas.openxmlformats.org/officeDocument/2006/relationships/hyperlink" Id="rId13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21" Target="https://ucla-biostat-216.github.io/2024fall/slides/02-vector/02-vector.html" TargetMode="External" /><Relationship Type="http://schemas.openxmlformats.org/officeDocument/2006/relationships/hyperlink" Id="rId11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59" Target="vector-calculus.qmd#def-dir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2026-10-30T08:41:23Z</dcterms:created>
  <dcterms:modified xsi:type="dcterms:W3CDTF">2026-10-30T08:41:23Z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