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2026-10-03 18:50:04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 collection of sets: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The Morrison Lab’s probability notes define a probability measure as a measure</w:t>
      </w:r>
      <w:r>
        <w:t xml:space="preserve"> </w:t>
      </w:r>
      <w:r>
        <w:t xml:space="preserve">that gives the whole space size 1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2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2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"/>
    <w:bookmarkStart w:id="14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4"/>
    <w:bookmarkStart w:id="16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6"/>
    <w:bookmarkStart w:id="18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 finitely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 none of the complements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1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End w:id="20"/>
    <w:bookmarkStart w:id="24" w:name="pairwise-disjoint-sets"/>
    <w:p>
      <w:pPr>
        <w:pStyle w:val="Heading2"/>
      </w:pPr>
      <w:r>
        <w:t xml:space="preserve">2 Pairwise disjoint sets</w:t>
      </w:r>
    </w:p>
    <w:bookmarkStart w:id="21" w:name="def-pairwise-disjoint"/>
    <w:p>
      <w:pPr>
        <w:pStyle w:val="FirstParagraph"/>
      </w:pPr>
      <w:r>
        <w:rPr>
          <w:b/>
          <w:bCs/>
        </w:rPr>
        <w:t xml:space="preserve">Definition 2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1"/>
    <w:bookmarkStart w:id="22" w:name="rem-mutually-exclus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(Mutually exclusive events). </w:t>
      </w:r>
      <w:r>
        <w:t xml:space="preserve">In probability, pairwise disjoint events 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22"/>
    <w:bookmarkStart w:id="23" w:name="exm-pairwise-disjoint"/>
    <w:p>
      <w:pPr>
        <w:pStyle w:val="BodyText"/>
      </w:pPr>
      <w:r>
        <w:rPr>
          <w:b/>
          <w:bCs/>
        </w:rPr>
        <w:t xml:space="preserve">Example 2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23"/>
    <w:bookmarkEnd w:id="24"/>
    <w:bookmarkStart w:id="42" w:name="additivity"/>
    <w:p>
      <w:pPr>
        <w:pStyle w:val="Heading2"/>
      </w:pPr>
      <w:r>
        <w:t xml:space="preserve">3 Additivity</w:t>
      </w:r>
    </w:p>
    <w:bookmarkStart w:id="27" w:name="def-finite-additivity"/>
    <w:p>
      <w:pPr>
        <w:pStyle w:val="FirstParagraph"/>
      </w:pPr>
      <w:r>
        <w:rPr>
          <w:b/>
          <w:bCs/>
        </w:rPr>
        <w:t xml:space="preserve">Definition 3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26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7"/>
    <w:bookmarkStart w:id="28" w:name="exm-finite-additivity"/>
    <w:p>
      <w:pPr>
        <w:pStyle w:val="FirstParagraph"/>
      </w:pPr>
      <w:r>
        <w:rPr>
          <w:b/>
          <w:bCs/>
        </w:rPr>
        <w:t xml:space="preserve">Example 3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2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8"/>
    <w:bookmarkStart w:id="29" w:name="def-countable-additivity"/>
    <w:p>
      <w:pPr>
        <w:pStyle w:val="BodyText"/>
      </w:pPr>
      <w:r>
        <w:rPr>
          <w:b/>
          <w:bCs/>
        </w:rPr>
        <w:t xml:space="preserve">Definition 4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9"/>
    <w:bookmarkStart w:id="30" w:name="exm-countable-additivity"/>
    <w:p>
      <w:pPr>
        <w:pStyle w:val="FirstParagraph"/>
      </w:pPr>
      <w:r>
        <w:rPr>
          <w:b/>
          <w:bCs/>
        </w:rPr>
        <w:t xml:space="preserve">Example 4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30"/>
    <w:bookmarkStart w:id="31" w:name="lem-nonneg-series"/>
    <w:p>
      <w:pPr>
        <w:pStyle w:val="BodyText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 non-decreasing,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 limit,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 real numbers.</w:t>
      </w:r>
      <w:r>
        <w:t xml:space="preserve"> </w:t>
      </w:r>
      <w:r>
        <w:t xml:space="preserve">If that sequence is bounded above,</w:t>
      </w:r>
      <w:r>
        <w:t xml:space="preserve"> </w:t>
      </w:r>
      <w:r>
        <w:t xml:space="preserve">it converges to a finite number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33"/>
    <w:bookmarkStart w:id="3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 contradiction.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5" w:name="exm-empty-set-zero"/>
    <w:p>
      <w:pPr>
        <w:pStyle w:val="BodyText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35"/>
    <w:bookmarkStart w:id="36" w:name="exm-empty-set-infinity"/>
    <w:p>
      <w:pPr>
        <w:pStyle w:val="FirstParagraph"/>
      </w:pPr>
      <w:r>
        <w:rPr>
          <w:b/>
          <w:bCs/>
        </w:rPr>
        <w:t xml:space="preserve">Example 6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6"/>
    <w:bookmarkStart w:id="37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37"/>
    <w:bookmarkStart w:id="38" w:name="thm-countable-implies-finite"/>
    <w:p>
      <w:pPr>
        <w:pStyle w:val="BodyText"/>
      </w:pPr>
      <w:r>
        <w:rPr>
          <w:b/>
          <w:bCs/>
        </w:rPr>
        <w:t xml:space="preserve">Theorem 3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9" w:name="exm-finite-not-countable"/>
    <w:p>
      <w:pPr>
        <w:pStyle w:val="FirstParagraph"/>
      </w:pPr>
      <w:r>
        <w:rPr>
          <w:b/>
          <w:bCs/>
        </w:rPr>
        <w:t xml:space="preserve">Example 7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9"/>
    <w:bookmarkStart w:id="41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 that the converse 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41"/>
    <w:bookmarkEnd w:id="42"/>
    <w:bookmarkStart w:id="51" w:name="measures"/>
    <w:p>
      <w:pPr>
        <w:pStyle w:val="Heading2"/>
      </w:pPr>
      <w:r>
        <w:t xml:space="preserve">4 Measures</w:t>
      </w:r>
    </w:p>
    <w:bookmarkStart w:id="43" w:name="def-measure"/>
    <w:p>
      <w:pPr>
        <w:pStyle w:val="FirstParagraph"/>
      </w:pPr>
      <w:r>
        <w:rPr>
          <w:b/>
          <w:bCs/>
        </w:rPr>
        <w:t xml:space="preserve">Definition 5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43"/>
    <w:bookmarkStart w:id="44" w:name="exm-measure"/>
    <w:p>
      <w:pPr>
        <w:pStyle w:val="FirstParagraph"/>
      </w:pPr>
      <w:r>
        <w:rPr>
          <w:b/>
          <w:bCs/>
        </w:rPr>
        <w:t xml:space="preserve">Example 8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44"/>
    <w:bookmarkStart w:id="45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it.</w:t>
      </w:r>
    </w:p>
    <w:bookmarkStart w:id="46" w:name="def-counting-measure"/>
    <w:p>
      <w:pPr>
        <w:pStyle w:val="BodyText"/>
      </w:pPr>
      <w:r>
        <w:rPr>
          <w:b/>
          <w:bCs/>
        </w:rPr>
        <w:t xml:space="preserve">Definition 6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46"/>
    <w:bookmarkStart w:id="47" w:name="exm-counting-measure"/>
    <w:p>
      <w:pPr>
        <w:pStyle w:val="FirstParagraph"/>
      </w:pPr>
      <w:r>
        <w:rPr>
          <w:b/>
          <w:bCs/>
        </w:rPr>
        <w:t xml:space="preserve">Example 9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7"/>
    <w:bookmarkStart w:id="50" w:name="rem-measure-size"/>
    <w:p>
      <w:pPr>
        <w:pStyle w:val="BodyText"/>
      </w:pPr>
      <w:r>
        <w:rPr>
          <w:i/>
          <w:iCs/>
        </w:rPr>
        <w:t xml:space="preserve">Remark 6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48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4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50"/>
    <w:bookmarkEnd w:id="51"/>
    <w:bookmarkStart w:id="52" w:name="sec-further-reading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05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05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05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52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3"/>
    <w:bookmarkStart w:id="55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54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55"/>
    <w:bookmarkStart w:id="5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calculus.qmd#thm-fubini-tonelli" TargetMode="External" /><Relationship Type="http://schemas.openxmlformats.org/officeDocument/2006/relationships/hyperlink" Id="rId56" Target="https://doi.org/10.1007/978-1-4614-4708-5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8" Target="https://en.wikipedia.org/wiki/Lebesgue_measure" TargetMode="External" /><Relationship Type="http://schemas.openxmlformats.org/officeDocument/2006/relationships/hyperlink" Id="rId32" Target="https://en.wikipedia.org/wiki/Monotone_convergence_theorem" TargetMode="External" /><Relationship Type="http://schemas.openxmlformats.org/officeDocument/2006/relationships/hyperlink" Id="rId40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54" Target="https://www.wiley.com/en-us/Real+Analysis%3A+Modern+Techniques+and+Their+Applications%2C+2nd+Edition-p-9780471317166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7" Target="sets-functions.qmd#def-empty-set" TargetMode="External" /><Relationship Type="http://schemas.openxmlformats.org/officeDocument/2006/relationships/hyperlink" Id="rId26" Target="sets-functions.qmd#def-extended-nonneg-reals" TargetMode="External" /><Relationship Type="http://schemas.openxmlformats.org/officeDocument/2006/relationships/hyperlink" Id="rId25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5" Target="sets-function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calculus.qmd#thm-fubini-tonelli" TargetMode="External" /><Relationship Type="http://schemas.openxmlformats.org/officeDocument/2006/relationships/hyperlink" Id="rId56" Target="https://doi.org/10.1007/978-1-4614-4708-5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8" Target="https://en.wikipedia.org/wiki/Lebesgue_measure" TargetMode="External" /><Relationship Type="http://schemas.openxmlformats.org/officeDocument/2006/relationships/hyperlink" Id="rId32" Target="https://en.wikipedia.org/wiki/Monotone_convergence_theorem" TargetMode="External" /><Relationship Type="http://schemas.openxmlformats.org/officeDocument/2006/relationships/hyperlink" Id="rId40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54" Target="https://www.wiley.com/en-us/Real+Analysis%3A+Modern+Techniques+and+Their+Applications%2C+2nd+Edition-p-9780471317166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7" Target="sets-functions.qmd#def-empty-set" TargetMode="External" /><Relationship Type="http://schemas.openxmlformats.org/officeDocument/2006/relationships/hyperlink" Id="rId26" Target="sets-functions.qmd#def-extended-nonneg-reals" TargetMode="External" /><Relationship Type="http://schemas.openxmlformats.org/officeDocument/2006/relationships/hyperlink" Id="rId25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5" Target="sets-function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2026-10-04T01:56:51Z</dcterms:created>
  <dcterms:modified xsi:type="dcterms:W3CDTF">2026-10-04T01:56:51Z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18:50:04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