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05:19:02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4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5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6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7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0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5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4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4"/>
    <w:bookmarkStart w:id="38" w:name="sec-notation-naturals"/>
    <w:p>
      <w:pPr>
        <w:pStyle w:val="Heading2"/>
      </w:pPr>
      <w:r>
        <w:t xml:space="preserve">2 Natural numbers</w:t>
      </w:r>
    </w:p>
    <w:bookmarkStart w:id="25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5"/>
    <w:bookmarkStart w:id="26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6"/>
    <w:bookmarkStart w:id="27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7"/>
    <w:bookmarkStart w:id="28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8"/>
    <w:bookmarkStart w:id="29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9"/>
    <w:bookmarkStart w:id="30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30"/>
    <w:bookmarkStart w:id="31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31"/>
    <w:bookmarkStart w:id="32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32"/>
    <w:bookmarkStart w:id="33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8"/>
    <w:bookmarkStart w:id="49" w:name="sec-notation-reals"/>
    <w:p>
      <w:pPr>
        <w:pStyle w:val="Heading2"/>
      </w:pPr>
      <w:r>
        <w:t xml:space="preserve">3 Rational, real, and irrational numbers</w:t>
      </w:r>
    </w:p>
    <w:bookmarkStart w:id="39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9"/>
    <w:bookmarkStart w:id="40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40"/>
    <w:bookmarkStart w:id="41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1"/>
    <w:bookmarkStart w:id="42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42"/>
    <w:bookmarkStart w:id="43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3"/>
    <w:bookmarkStart w:id="44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4"/>
    <w:bookmarkStart w:id="48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5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8"/>
    <w:bookmarkEnd w:id="49"/>
    <w:bookmarkStart w:id="53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50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51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51"/>
    <w:bookmarkStart w:id="52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52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3"/>
    <w:bookmarkStart w:id="93" w:name="sec-indicator-functions"/>
    <w:p>
      <w:pPr>
        <w:pStyle w:val="Heading2"/>
      </w:pPr>
      <w:r>
        <w:t xml:space="preserve">5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09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09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09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54" w:name="def-indicator-function"/>
    <w:p>
      <w:pPr>
        <w:pStyle w:val="BodyText"/>
      </w:pPr>
      <w:r>
        <w:rPr>
          <w:b/>
          <w:bCs/>
        </w:rPr>
        <w:t xml:space="preserve">Definition 9 (Indicator function (set indicator))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bookmarkEnd w:id="54"/>
    <w:bookmarkStart w:id="55" w:name="def-predicate-indicator"/>
    <w:p>
      <w:pPr>
        <w:pStyle w:val="FirstParagraph"/>
      </w:pPr>
      <w:r>
        <w:rPr>
          <w:b/>
          <w:bCs/>
        </w:rPr>
        <w:t xml:space="preserve">Definition 10 (Predicate indicator)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55"/>
    <w:bookmarkStart w:id="56" w:name="exm-indicator-numerical"/>
    <w:p>
      <w:pPr>
        <w:pStyle w:val="FirstParagraph"/>
      </w:pPr>
      <w:r>
        <w:rPr>
          <w:b/>
          <w:bCs/>
        </w:rPr>
        <w:t xml:space="preserve">Example 8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10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12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6"/>
    <w:bookmarkStart w:id="57" w:name="def-binary-variable"/>
    <w:p>
      <w:pPr>
        <w:pStyle w:val="FirstParagraph"/>
      </w:pPr>
      <w:r>
        <w:rPr>
          <w:b/>
          <w:bCs/>
        </w:rPr>
        <w:t xml:space="preserve">Definition 11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57"/>
    <w:bookmarkStart w:id="58" w:name="exm-binary-variable"/>
    <w:p>
      <w:pPr>
        <w:pStyle w:val="BodyText"/>
      </w:pPr>
      <w:r>
        <w:rPr>
          <w:b/>
          <w:bCs/>
        </w:rPr>
        <w:t xml:space="preserve">Example 9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8"/>
    <w:bookmarkStart w:id="68" w:name="X156504d913efc1f49ad7c2e43ace68824d2fb5d"/>
    <w:p>
      <w:pPr>
        <w:pStyle w:val="Heading3"/>
      </w:pPr>
      <w:r>
        <w:t xml:space="preserve">5.1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60" w:name="def-set-predicate-notation"/>
    <w:p>
      <w:pPr>
        <w:pStyle w:val="BodyText"/>
      </w:pPr>
      <w:r>
        <w:rPr>
          <w:b/>
          <w:bCs/>
        </w:rPr>
        <w:t xml:space="preserve">Definition 12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definition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60"/>
    <w:bookmarkStart w:id="61" w:name="exm-set-predicate-notation"/>
    <w:p>
      <w:pPr>
        <w:pStyle w:val="BodyText"/>
      </w:pPr>
      <w:r>
        <w:rPr>
          <w:b/>
          <w:bCs/>
        </w:rPr>
        <w:t xml:space="preserve">Example 10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61"/>
    <w:bookmarkStart w:id="62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13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62"/>
    <w:bookmarkStart w:id="64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14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14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r:id="rId63">
        <w:r>
          <w:rPr>
            <w:rStyle w:val="Hyperlink"/>
          </w:rPr>
          <w:t xml:space="preserve">definition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64"/>
    <w:bookmarkStart w:id="67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65" w:name="def-support"/>
    <w:p>
      <w:pPr>
        <w:pStyle w:val="FirstParagraph"/>
      </w:pPr>
      <w:r>
        <w:rPr>
          <w:b/>
          <w:bCs/>
        </w:rPr>
        <w:t xml:space="preserve">Definition 13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65"/>
    <w:bookmarkStart w:id="66" w:name="exm-support"/>
    <w:p>
      <w:pPr>
        <w:pStyle w:val="BodyText"/>
      </w:pPr>
      <w:r>
        <w:rPr>
          <w:b/>
          <w:bCs/>
        </w:rPr>
        <w:t xml:space="preserve">Example 11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67"/>
    <w:bookmarkEnd w:id="68"/>
    <w:bookmarkStart w:id="75" w:name="iverson-bracket-notation"/>
    <w:p>
      <w:pPr>
        <w:pStyle w:val="Heading3"/>
      </w:pPr>
      <w:r>
        <w:t xml:space="preserve">5.2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70" w:name="def-iverson-bracket"/>
    <w:p>
      <w:pPr>
        <w:pStyle w:val="BodyText"/>
      </w:pPr>
      <w:r>
        <w:rPr>
          <w:b/>
          <w:bCs/>
        </w:rPr>
        <w:t xml:space="preserve">Definition 14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70"/>
    <w:bookmarkStart w:id="71" w:name="exm-iverson-bracket"/>
    <w:p>
      <w:pPr>
        <w:pStyle w:val="FirstParagraph"/>
      </w:pPr>
      <w:r>
        <w:rPr>
          <w:b/>
          <w:bCs/>
        </w:rPr>
        <w:t xml:space="preserve">Example 12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71"/>
    <w:bookmarkStart w:id="72" w:name="rem-iverson-indicator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9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become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t>7.2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7.2</m:t>
                  </m:r>
                  <m:r>
                    <m:rPr>
                      <m:sty m:val="p"/>
                    </m:rPr>
                    <m:t>&gt;</m:t>
                  </m:r>
                  <m:r>
                    <m:t>5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kronecker-delta"/>
    <w:p>
      <w:pPr>
        <w:pStyle w:val="FirstParagraph"/>
      </w:pPr>
      <w:r>
        <w:rPr>
          <w:b/>
          <w:bCs/>
        </w:rPr>
        <w:t xml:space="preserve">Definition 15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3"/>
    <w:bookmarkStart w:id="74" w:name="exm-kronecker-delta"/>
    <w:p>
      <w:pPr>
        <w:pStyle w:val="BodyText"/>
      </w:pPr>
      <w:r>
        <w:rPr>
          <w:b/>
          <w:bCs/>
        </w:rPr>
        <w:t xml:space="preserve">Example 13 (Evaluating the Kronecker delta)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23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End w:id="75"/>
    <w:bookmarkStart w:id="79" w:name="Xd6f58182005cccf55080a628cd9152d2b1165ed"/>
    <w:p>
      <w:pPr>
        <w:pStyle w:val="Heading3"/>
      </w:pPr>
      <w:r>
        <w:t xml:space="preserve">5.3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76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77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79"/>
    <w:bookmarkStart w:id="81" w:name="summary-of-indicator-notations"/>
    <w:p>
      <w:pPr>
        <w:pStyle w:val="Heading3"/>
      </w:pPr>
      <w:r>
        <w:t xml:space="preserve">5.4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80"/>
          <w:p/>
        </w:tc>
      </w:tr>
    </w:tbl>
    <w:bookmarkEnd w:id="81"/>
    <w:bookmarkStart w:id="82" w:name="conventions-in-this-book"/>
    <w:p>
      <w:pPr>
        <w:pStyle w:val="Heading3"/>
      </w:pPr>
      <w:r>
        <w:t xml:space="preserve">5.5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82"/>
    <w:bookmarkStart w:id="92" w:name="key-algebraic-properties"/>
    <w:p>
      <w:pPr>
        <w:pStyle w:val="Heading3"/>
      </w:pPr>
      <w:r>
        <w:t xml:space="preserve">5.6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84" w:name="def-idempotent"/>
    <w:p>
      <w:pPr>
        <w:pStyle w:val="BodyText"/>
      </w:pPr>
      <w:r>
        <w:rPr>
          <w:b/>
          <w:bCs/>
        </w:rPr>
        <w:t xml:space="preserve">Definition 16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83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84"/>
    <w:bookmarkStart w:id="86" w:name="exm-idempotent-indicator"/>
    <w:p>
      <w:pPr>
        <w:pStyle w:val="BodyText"/>
      </w:pPr>
      <w:r>
        <w:rPr>
          <w:b/>
          <w:bCs/>
        </w:rPr>
        <w:t xml:space="preserve">Example 14 (Idempotent numbers and indicators)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5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86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87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16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20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88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89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9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91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21"/>
        </w:numPr>
      </w:pPr>
      <w:r>
        <w:t xml:space="preserve">empirical proportions;</w:t>
      </w:r>
    </w:p>
    <w:p>
      <w:pPr>
        <w:pStyle w:val="Compact"/>
        <w:numPr>
          <w:ilvl w:val="0"/>
          <w:numId w:val="1021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21"/>
        </w:numPr>
      </w:pPr>
      <w:r>
        <w:t xml:space="preserve">regression models for binary outcomes.</w:t>
      </w:r>
    </w:p>
    <w:bookmarkEnd w:id="92"/>
    <w:bookmarkEnd w:id="93"/>
    <w:bookmarkStart w:id="113" w:name="sec-notational-shorthands"/>
    <w:p>
      <w:pPr>
        <w:pStyle w:val="Heading2"/>
      </w:pPr>
      <w:r>
        <w:t xml:space="preserve">6 Notational shorthands</w:t>
      </w:r>
    </w:p>
    <w:bookmarkStart w:id="96" w:name="def-lower-upper-limits"/>
    <w:p>
      <w:pPr>
        <w:pStyle w:val="FirstParagraph"/>
      </w:pPr>
      <w:r>
        <w:rPr>
          <w:b/>
          <w:bCs/>
        </w:rPr>
        <w:t xml:space="preserve">Definition 17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94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95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96"/>
    <w:bookmarkStart w:id="97" w:name="exm-lower-upper-limits"/>
    <w:p>
      <w:pPr>
        <w:pStyle w:val="BodyText"/>
      </w:pPr>
      <w:r>
        <w:rPr>
          <w:b/>
          <w:bCs/>
        </w:rPr>
        <w:t xml:space="preserve">Example 15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97"/>
    <w:bookmarkStart w:id="100" w:name="rem-limits-two-meanings"/>
    <w:p>
      <w:pPr>
        <w:pStyle w:val="FirstParagraph"/>
      </w:pPr>
      <w:r>
        <w:rPr>
          <w:i/>
          <w:iCs/>
        </w:rPr>
        <w:t xml:space="preserve">Remark 3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98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99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00"/>
    <w:bookmarkStart w:id="101" w:name="def-notational-shorthand"/>
    <w:p>
      <w:pPr>
        <w:pStyle w:val="BodyText"/>
      </w:pPr>
      <w:r>
        <w:rPr>
          <w:b/>
          <w:bCs/>
        </w:rPr>
        <w:t xml:space="preserve">Definition 18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0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04" w:name="def-range-of-variable"/>
    <w:p>
      <w:pPr>
        <w:pStyle w:val="FirstParagraph"/>
      </w:pPr>
      <w:r>
        <w:rPr>
          <w:b/>
          <w:bCs/>
        </w:rPr>
        <w:t xml:space="preserve">Definition 19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04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0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05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08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94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09"/>
          <w:p/>
        </w:tc>
      </w:tr>
    </w:tbl>
    <w:bookmarkStart w:id="111" w:name="rem-indefinite-integral-not-shorthand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10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11"/>
    <w:bookmarkStart w:id="112" w:name="exm-expand-index-shorthand"/>
    <w:p>
      <w:pPr>
        <w:pStyle w:val="BodyText"/>
      </w:pPr>
      <w:r>
        <w:rPr>
          <w:b/>
          <w:bCs/>
        </w:rPr>
        <w:t xml:space="preserve">Example 16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12"/>
    <w:bookmarkEnd w:id="113"/>
    <w:bookmarkStart w:id="120" w:name="X93a3d4ef5e06a67ae6b891e46b41b74b3674f55"/>
    <w:p>
      <w:pPr>
        <w:pStyle w:val="Heading2"/>
      </w:pPr>
      <w:r>
        <w:t xml:space="preserve">7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14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15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16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17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18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19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20"/>
    <w:bookmarkStart w:id="123" w:name="sec-further-reading"/>
    <w:p>
      <w:pPr>
        <w:pStyle w:val="Heading2"/>
      </w:pPr>
      <w:r>
        <w:t xml:space="preserve">8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121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24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9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24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22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23"/>
    <w:bookmarkStart w:id="132" w:name="references"/>
    <w:p>
      <w:pPr>
        <w:pStyle w:val="Heading2"/>
      </w:pPr>
      <w:r>
        <w:t xml:space="preserve">References</w:t>
      </w:r>
    </w:p>
    <w:bookmarkStart w:id="131" w:name="refs"/>
    <w:bookmarkStart w:id="125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24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25"/>
    <w:bookmarkStart w:id="127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26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27"/>
    <w:bookmarkStart w:id="12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28"/>
    <w:bookmarkStart w:id="130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29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30"/>
    <w:bookmarkEnd w:id="131"/>
    <w:bookmarkEnd w:id="1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1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1" Target="algebra-basics.html#def-identity" TargetMode="External" /><Relationship Type="http://schemas.openxmlformats.org/officeDocument/2006/relationships/hyperlink" Id="rId45" Target="algebra-basics.html#def-square-root" TargetMode="External" /><Relationship Type="http://schemas.openxmlformats.org/officeDocument/2006/relationships/hyperlink" Id="rId99" Target="algebra-exponentials.html#def-sequence-limit" TargetMode="External" /><Relationship Type="http://schemas.openxmlformats.org/officeDocument/2006/relationships/hyperlink" Id="rId108" Target="algebra-sums.html#def-sum-over-set" TargetMode="External" /><Relationship Type="http://schemas.openxmlformats.org/officeDocument/2006/relationships/hyperlink" Id="rId94" Target="algebra-sums.html#def-summation" TargetMode="External" /><Relationship Type="http://schemas.openxmlformats.org/officeDocument/2006/relationships/hyperlink" Id="rId12" Target="algebra-sums.html#sec-summation" TargetMode="External" /><Relationship Type="http://schemas.openxmlformats.org/officeDocument/2006/relationships/hyperlink" Id="rId15" Target="calculus-derivatives.html#def-derivative" TargetMode="External" /><Relationship Type="http://schemas.openxmlformats.org/officeDocument/2006/relationships/hyperlink" Id="rId98" Target="calculus-derivatives.html#def-limit" TargetMode="External" /><Relationship Type="http://schemas.openxmlformats.org/officeDocument/2006/relationships/hyperlink" Id="rId110" Target="calculus-integration.html#def-indefinite-integral" TargetMode="External" /><Relationship Type="http://schemas.openxmlformats.org/officeDocument/2006/relationships/hyperlink" Id="rId95" Target="calculus-integration.html#def-riemann-integral" TargetMode="External" /><Relationship Type="http://schemas.openxmlformats.org/officeDocument/2006/relationships/hyperlink" Id="rId129" Target="https://doi.org/10.1017/9781108539890" TargetMode="External" /><Relationship Type="http://schemas.openxmlformats.org/officeDocument/2006/relationships/hyperlink" Id="rId126" Target="https://doi.org/10.2307/2344614" TargetMode="External" /><Relationship Type="http://schemas.openxmlformats.org/officeDocument/2006/relationships/hyperlink" Id="rId37" Target="https://en.wikipedia.org/w/index.php?title=Natural_number&amp;oldid=1375965996" TargetMode="External" /><Relationship Type="http://schemas.openxmlformats.org/officeDocument/2006/relationships/hyperlink" Id="rId115" Target="https://en.wikipedia.org/wiki/Al-Jabr" TargetMode="External" /><Relationship Type="http://schemas.openxmlformats.org/officeDocument/2006/relationships/hyperlink" Id="rId116" Target="https://en.wikipedia.org/wiki/Arithmetic#History" TargetMode="External" /><Relationship Type="http://schemas.openxmlformats.org/officeDocument/2006/relationships/hyperlink" Id="rId19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18" Target="https://en.wikipedia.org/wiki/History_of_statistics#Development_of_modern_statistics" TargetMode="External" /><Relationship Type="http://schemas.openxmlformats.org/officeDocument/2006/relationships/hyperlink" Id="rId69" Target="https://en.wikipedia.org/wiki/Iverson_bracket" TargetMode="External" /><Relationship Type="http://schemas.openxmlformats.org/officeDocument/2006/relationships/hyperlink" Id="rId114" Target="https://en.wikipedia.org/wiki/Leibniz%27s_notation" TargetMode="External" /><Relationship Type="http://schemas.openxmlformats.org/officeDocument/2006/relationships/hyperlink" Id="rId117" Target="https://en.wikipedia.org/wiki/Notation_for_differentiation" TargetMode="External" /><Relationship Type="http://schemas.openxmlformats.org/officeDocument/2006/relationships/hyperlink" Id="rId50" Target="https://en.wikipedia.org/wiki/Percentage" TargetMode="External" /><Relationship Type="http://schemas.openxmlformats.org/officeDocument/2006/relationships/hyperlink" Id="rId47" Target="https://en.wikipedia.org/wiki/Proof_that_%CF%80_is_irrational" TargetMode="External" /><Relationship Type="http://schemas.openxmlformats.org/officeDocument/2006/relationships/hyperlink" Id="rId46" Target="https://en.wikipedia.org/wiki/Square_root_of_2" TargetMode="External" /><Relationship Type="http://schemas.openxmlformats.org/officeDocument/2006/relationships/hyperlink" Id="rId119" Target="https://en.wikipedia.org/wiki/The_Structure_of_Scientific_Revolutions" TargetMode="External" /><Relationship Type="http://schemas.openxmlformats.org/officeDocument/2006/relationships/hyperlink" Id="rId78" Target="https://morrison-lab.github.io/pds/expectation.html#def-cond-expectation" TargetMode="External" /><Relationship Type="http://schemas.openxmlformats.org/officeDocument/2006/relationships/hyperlink" Id="rId14" Target="https://morrison-lab.github.io/pds/expectation.html#def-expectation" TargetMode="External" /><Relationship Type="http://schemas.openxmlformats.org/officeDocument/2006/relationships/hyperlink" Id="rId17" Target="https://morrison-lab.github.io/pds/independence.html#def-indpt" TargetMode="External" /><Relationship Type="http://schemas.openxmlformats.org/officeDocument/2006/relationships/hyperlink" Id="rId11" Target="https://morrison-lab.github.io/pds/probability-basics.html#def-conditional-prob" TargetMode="External" /><Relationship Type="http://schemas.openxmlformats.org/officeDocument/2006/relationships/hyperlink" Id="rId89" Target="https://morrison-lab.github.io/pds/probability-basics.html#def-event" TargetMode="External" /><Relationship Type="http://schemas.openxmlformats.org/officeDocument/2006/relationships/hyperlink" Id="rId90" Target="https://morrison-lab.github.io/pds/probability-basics.html#def-probability" TargetMode="External" /><Relationship Type="http://schemas.openxmlformats.org/officeDocument/2006/relationships/hyperlink" Id="rId88" Target="https://morrison-lab.github.io/pds/probability-basics.html#def-sample-space" TargetMode="External" /><Relationship Type="http://schemas.openxmlformats.org/officeDocument/2006/relationships/hyperlink" Id="rId13" Target="https://morrison-lab.github.io/pds/random-variables.html#def-random-variable" TargetMode="External" /><Relationship Type="http://schemas.openxmlformats.org/officeDocument/2006/relationships/hyperlink" Id="rId23" Target="https://quarto.org/docs/authoring/markdown-basics.html#equations" TargetMode="External" /><Relationship Type="http://schemas.openxmlformats.org/officeDocument/2006/relationships/hyperlink" Id="rId124" Target="https://www.amazon.com/dp/1575866323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21" Target="linear-algebra-vectors.html#def-linear-combination" TargetMode="External" /><Relationship Type="http://schemas.openxmlformats.org/officeDocument/2006/relationships/hyperlink" Id="rId63" Target="proof-writing.qmd#def-inequality" TargetMode="External" /><Relationship Type="http://schemas.openxmlformats.org/officeDocument/2006/relationships/hyperlink" Id="rId9" Target="proof-writing.qmd#def-logical-connective" TargetMode="External" /><Relationship Type="http://schemas.openxmlformats.org/officeDocument/2006/relationships/hyperlink" Id="rId18" Target="proof-writing.qmd#def-logical-entailment" TargetMode="External" /><Relationship Type="http://schemas.openxmlformats.org/officeDocument/2006/relationships/hyperlink" Id="rId59" Target="proof-writing.qmd#def-predicate" TargetMode="External" /><Relationship Type="http://schemas.openxmlformats.org/officeDocument/2006/relationships/hyperlink" Id="rId10" Target="proof-writing.qmd#def-quantifier" TargetMode="External" /><Relationship Type="http://schemas.openxmlformats.org/officeDocument/2006/relationships/hyperlink" Id="rId121" Target="proof-writing.qmd#sec-proof-definitions" TargetMode="External" /><Relationship Type="http://schemas.openxmlformats.org/officeDocument/2006/relationships/hyperlink" Id="rId122" Target="sets-functions.qmd" TargetMode="External" /><Relationship Type="http://schemas.openxmlformats.org/officeDocument/2006/relationships/hyperlink" Id="rId87" Target="sets-functions.qmd#def-complement" TargetMode="External" /><Relationship Type="http://schemas.openxmlformats.org/officeDocument/2006/relationships/hyperlink" Id="rId83" Target="sets-functions.qmd#def-domain" TargetMode="External" /><Relationship Type="http://schemas.openxmlformats.org/officeDocument/2006/relationships/hyperlink" Id="rId76" Target="sets-functions.qmd#def-finite-set" TargetMode="External" /><Relationship Type="http://schemas.openxmlformats.org/officeDocument/2006/relationships/hyperlink" Id="rId105" Target="sets-functions.qmd#def-function" TargetMode="External" /><Relationship Type="http://schemas.openxmlformats.org/officeDocument/2006/relationships/hyperlink" Id="rId106" Target="sets-functions.qmd#def-image" TargetMode="External" /><Relationship Type="http://schemas.openxmlformats.org/officeDocument/2006/relationships/hyperlink" Id="rId77" Target="sets-functions.qmd#def-interval" TargetMode="External" /><Relationship Type="http://schemas.openxmlformats.org/officeDocument/2006/relationships/hyperlink" Id="rId107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2026-10-15T13:06:40Z</dcterms:created>
  <dcterms:modified xsi:type="dcterms:W3CDTF">2026-10-15T13:06:40Z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05:19:02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