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2026-10-27 09:35:20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2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[3]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8"/>
    <w:bookmarkStart w:id="19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9"/>
    <w:bookmarkStart w:id="20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1" w:name="def-strict-subset"/>
    <w:p>
      <w:pPr>
        <w:pStyle w:val="BodyText"/>
      </w:pPr>
      <w:r>
        <w:rPr>
          <w:b/>
          <w:bCs/>
        </w:rPr>
        <w:t xml:space="preserve">Definition 4 (Strict subset, proper subset)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1"/>
    <w:bookmarkStart w:id="22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2"/>
    <w:bookmarkStart w:id="23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4"/>
    <w:bookmarkStart w:id="25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5"/>
    <w:bookmarkStart w:id="26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6"/>
    <w:bookmarkStart w:id="27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7"/>
    <w:bookmarkStart w:id="28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[4]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8"/>
    <w:bookmarkStart w:id="30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2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0"/>
    <w:bookmarkStart w:id="31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1"/>
    <w:bookmarkStart w:id="32" w:name="def-vacuous-truth"/>
    <w:p>
      <w:pPr>
        <w:pStyle w:val="BodyText"/>
      </w:pPr>
      <w:r>
        <w:rPr>
          <w:b/>
          <w:bCs/>
        </w:rPr>
        <w:t xml:space="preserve">Definition 8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[5]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2"/>
    <w:bookmarkStart w:id="33" w:name="exm-vacuous-truth"/>
    <w:p>
      <w:pPr>
        <w:pStyle w:val="BodyText"/>
      </w:pPr>
      <w:r>
        <w:rPr>
          <w:b/>
          <w:bCs/>
        </w:rPr>
        <w:t xml:space="preserve">Example 6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3"/>
    <w:bookmarkStart w:id="34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5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6" w:name="def-bound"/>
    <w:p>
      <w:pPr>
        <w:pStyle w:val="BodyText"/>
      </w:pPr>
      <w:r>
        <w:rPr>
          <w:b/>
          <w:bCs/>
        </w:rPr>
        <w:t xml:space="preserve">Definition 9 (Lower bound and upper bound)</w:t>
      </w:r>
      <w:r>
        <w:t xml:space="preserve"> </w:t>
      </w:r>
      <w:r>
        <w:t xml:space="preserve">For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  <w:r>
        <w:t xml:space="preserve"> </w:t>
      </w:r>
      <w:r>
        <w:t xml:space="preserve">each is a</w:t>
      </w:r>
      <w: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def-interval"/>
    <w:p>
      <w:pPr>
        <w:pStyle w:val="BodyText"/>
      </w:pPr>
      <w:r>
        <w:rPr>
          <w:b/>
          <w:bCs/>
        </w:rPr>
        <w:t xml:space="preserve">Definition 10 (Interval)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</w:t>
      </w:r>
      <w:r>
        <w:t xml:space="preserve"> </w:t>
      </w:r>
      <w:r>
        <w:t xml:space="preserve">[6]</w:t>
      </w:r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w:r>
        <w:t xml:space="preserve">that consists of all real numbers between two bounds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or of all real numbers on one side of a single bound,</w:t>
      </w:r>
      <w:r>
        <w:t xml:space="preserve"> </w:t>
      </w:r>
      <w:r>
        <w:t xml:space="preserve">or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bounds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define the interval are its</w:t>
      </w:r>
      <w:r>
        <w:t xml:space="preserve"> </w:t>
      </w:r>
      <w:r>
        <w:rPr>
          <w:b/>
          <w:bCs/>
        </w:rPr>
        <w:t xml:space="preserve">endpoints</w:t>
      </w:r>
      <w:r>
        <w:t xml:space="preserve">.</w:t>
      </w:r>
    </w:p>
    <w:bookmarkEnd w:id="37"/>
    <w:bookmarkStart w:id="38" w:name="def-closed-interval"/>
    <w:p>
      <w:pPr>
        <w:pStyle w:val="BodyText"/>
      </w:pPr>
      <w:r>
        <w:rPr>
          <w:b/>
          <w:bCs/>
        </w:rPr>
        <w:t xml:space="preserve">Definition 11 (Closed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both bounds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8"/>
    <w:bookmarkStart w:id="39" w:name="def-open-interval"/>
    <w:p>
      <w:pPr>
        <w:pStyle w:val="BodyText"/>
      </w:pPr>
      <w:r>
        <w:rPr>
          <w:b/>
          <w:bCs/>
        </w:rPr>
        <w:t xml:space="preserve">Definition 12 (Open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neither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9"/>
    <w:bookmarkStart w:id="40" w:name="def-half-open-interval"/>
    <w:p>
      <w:pPr>
        <w:pStyle w:val="BodyText"/>
      </w:pPr>
      <w:r>
        <w:rPr>
          <w:b/>
          <w:bCs/>
        </w:rPr>
        <w:t xml:space="preserve">Definition 13 (Half-open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 and not the other.</w:t>
      </w:r>
    </w:p>
    <w:bookmarkEnd w:id="40"/>
    <w:bookmarkStart w:id="41" w:name="def-unbounded-interval"/>
    <w:p>
      <w:pPr>
        <w:pStyle w:val="BodyText"/>
      </w:pPr>
      <w:r>
        <w:rPr>
          <w:b/>
          <w:bCs/>
        </w:rPr>
        <w:t xml:space="preserve">Definition 14 (Unbounded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 with at most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interval-brack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(Brackets and parentheses in interval notation). </w:t>
      </w:r>
      <w:r>
        <w:t xml:space="preserve">In the notation for an</w:t>
      </w:r>
      <w:r>
        <w:t xml:space="preserve"> </w:t>
      </w:r>
      <w:hyperlink w:anchor="def-interval">
        <w:r>
          <w:rPr>
            <w:rStyle w:val="Hyperlink"/>
          </w:rPr>
          <w:t xml:space="preserve">interval</w:t>
        </w:r>
      </w:hyperlink>
      <w:r>
        <w:t xml:space="preserve">, a bracket marks an</w:t>
      </w:r>
      <w:r>
        <w:t xml:space="preserve"> </w:t>
      </w:r>
      <w:hyperlink w:anchor="def-interval">
        <w:r>
          <w:rPr>
            <w:rStyle w:val="Hyperlink"/>
          </w:rPr>
          <w:t xml:space="preserve">endpoint</w:t>
        </w:r>
      </w:hyperlink>
      <w:r>
        <w:t xml:space="preserve"> </w:t>
      </w:r>
      <w:r>
        <w:t xml:space="preserve">that belongs to the interval,</w:t>
      </w:r>
      <w:r>
        <w:t xml:space="preserve"> </w:t>
      </w:r>
      <w:r>
        <w:t xml:space="preserve">while a parenthesis marks an endpoint that is excluded.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denote no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so they always get a parenthesis.</w:t>
      </w:r>
    </w:p>
    <w:bookmarkEnd w:id="42"/>
    <w:bookmarkStart w:id="43" w:name="exm-interval"/>
    <w:p>
      <w:pPr>
        <w:pStyle w:val="BodyText"/>
      </w:pPr>
      <w:r>
        <w:rPr>
          <w:b/>
          <w:bCs/>
        </w:rPr>
        <w:t xml:space="preserve">Example 7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4" w:name="def-collection"/>
    <w:p>
      <w:pPr>
        <w:pStyle w:val="FirstParagraph"/>
      </w:pPr>
      <w:r>
        <w:rPr>
          <w:b/>
          <w:bCs/>
        </w:rPr>
        <w:t xml:space="preserve">Definition 15 (Collection of sets, family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4"/>
    <w:bookmarkStart w:id="45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5"/>
    <w:bookmarkStart w:id="46" w:name="def-label"/>
    <w:p>
      <w:pPr>
        <w:pStyle w:val="BodyText"/>
      </w:pPr>
      <w:r>
        <w:rPr>
          <w:b/>
          <w:bCs/>
        </w:rPr>
        <w:t xml:space="preserve">Definition 16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6"/>
    <w:bookmarkStart w:id="47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7"/>
    <w:bookmarkStart w:id="48" w:name="def-index-set"/>
    <w:p>
      <w:pPr>
        <w:pStyle w:val="BodyText"/>
      </w:pPr>
      <w:r>
        <w:rPr>
          <w:b/>
          <w:bCs/>
        </w:rPr>
        <w:t xml:space="preserve">Definition 17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8"/>
    <w:bookmarkStart w:id="49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9"/>
    <w:bookmarkStart w:id="50" w:name="def-indexed-family"/>
    <w:p>
      <w:pPr>
        <w:pStyle w:val="BodyText"/>
      </w:pPr>
      <w:r>
        <w:rPr>
          <w:b/>
          <w:bCs/>
        </w:rPr>
        <w:t xml:space="preserve">Definition 18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0"/>
    <w:bookmarkStart w:id="51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1"/>
    <w:bookmarkEnd w:id="52"/>
    <w:bookmarkStart w:id="72" w:name="combining-sets"/>
    <w:p>
      <w:pPr>
        <w:pStyle w:val="Heading2"/>
      </w:pPr>
      <w:r>
        <w:t xml:space="preserve">2 Combining sets</w:t>
      </w:r>
    </w:p>
    <w:bookmarkStart w:id="53" w:name="def-union"/>
    <w:p>
      <w:pPr>
        <w:pStyle w:val="FirstParagraph"/>
      </w:pPr>
      <w:r>
        <w:rPr>
          <w:b/>
          <w:bCs/>
        </w:rPr>
        <w:t xml:space="preserve">Definition 19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union"/>
    <w:p>
      <w:pPr>
        <w:pStyle w:val="FirstParagraph"/>
      </w:pPr>
      <w:r>
        <w:rPr>
          <w:b/>
          <w:bCs/>
        </w:rPr>
        <w:t xml:space="preserve">Definition 20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intersection"/>
    <w:p>
      <w:pPr>
        <w:pStyle w:val="BodyText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indexed-intersection"/>
    <w:p>
      <w:pPr>
        <w:pStyle w:val="FirstParagraph"/>
      </w:pPr>
      <w:r>
        <w:rPr>
          <w:b/>
          <w:bCs/>
        </w:rPr>
        <w:t xml:space="preserve">Definition 22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6"/>
    <w:bookmarkStart w:id="57" w:name="def-set-difference"/>
    <w:p>
      <w:pPr>
        <w:pStyle w:val="BodyText"/>
      </w:pPr>
      <w:r>
        <w:rPr>
          <w:b/>
          <w:bCs/>
        </w:rPr>
        <w:t xml:space="preserve">Definition 23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7"/>
    <w:bookmarkStart w:id="58" w:name="def-complement"/>
    <w:p>
      <w:pPr>
        <w:pStyle w:val="FirstParagraph"/>
      </w:pPr>
      <w:r>
        <w:rPr>
          <w:b/>
          <w:bCs/>
        </w:rPr>
        <w:t xml:space="preserve">Definition 24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8"/>
    <w:bookmarkStart w:id="59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9"/>
    <w:bookmarkStart w:id="60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60"/>
    <w:bookmarkStart w:id="61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1"/>
    <w:bookmarkStart w:id="62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3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def-disjoint-sets"/>
    <w:p>
      <w:pPr>
        <w:pStyle w:val="FirstParagraph"/>
      </w:pPr>
      <w:r>
        <w:rPr>
          <w:b/>
          <w:bCs/>
        </w:rPr>
        <w:t xml:space="preserve">Definition 25 (Disjoint sets)</w:t>
      </w:r>
      <w:r>
        <w:t xml:space="preserve"> </w:t>
      </w:r>
      <w:r>
        <w:t xml:space="preserve">Two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if their</w:t>
      </w:r>
      <w:r>
        <w:t xml:space="preserve"> </w:t>
      </w:r>
      <w:hyperlink w:anchor="def-intersection">
        <w:r>
          <w:rPr>
            <w:rStyle w:val="Hyperlink"/>
          </w:rPr>
          <w:t xml:space="preserve">intersection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∅</m:t>
          </m:r>
        </m:oMath>
      </m:oMathPara>
    </w:p>
    <w:bookmarkEnd w:id="65"/>
    <w:bookmarkStart w:id="66" w:name="exm-disjoint-sets"/>
    <w:p>
      <w:pPr>
        <w:pStyle w:val="FirstParagraph"/>
      </w:pPr>
      <w:r>
        <w:rPr>
          <w:b/>
          <w:bCs/>
        </w:rPr>
        <w:t xml:space="preserve">Example 16 (Two disjoint sets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6"/>
    <w:bookmarkStart w:id="67" w:name="def-pairwise-disjoint"/>
    <w:p>
      <w:pPr>
        <w:pStyle w:val="BodyText"/>
      </w:pPr>
      <w:r>
        <w:rPr>
          <w:b/>
          <w:bCs/>
        </w:rPr>
        <w:t xml:space="preserve">Definition 26 (Pairwise disjoint sets, mutually disjoint sets)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every two of them are</w:t>
      </w:r>
      <w:r>
        <w:t xml:space="preserve"> </w:t>
      </w:r>
      <w:hyperlink w:anchor="def-disjoint-sets">
        <w:r>
          <w:rPr>
            <w:rStyle w:val="Hyperlink"/>
          </w:rPr>
          <w:t xml:space="preserve">disjoint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7"/>
    <w:bookmarkStart w:id="68" w:name="exm-pairwise-disjoint"/>
    <w:p>
      <w:pPr>
        <w:pStyle w:val="FirstParagraph"/>
      </w:pPr>
      <w:r>
        <w:rPr>
          <w:b/>
          <w:bCs/>
        </w:rPr>
        <w:t xml:space="preserve">Example 17 (Low, middle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:</w:t>
      </w:r>
      <w:r>
        <w:t xml:space="preserve"> </w:t>
      </w:r>
      <w:r>
        <w:t xml:space="preserve">no roll is in more than one of them.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 the first and the third.</w:t>
      </w:r>
    </w:p>
    <w:bookmarkEnd w:id="68"/>
    <w:bookmarkStart w:id="69" w:name="def-ordered-pair"/>
    <w:p>
      <w:pPr>
        <w:pStyle w:val="BodyText"/>
      </w:pPr>
      <w:r>
        <w:rPr>
          <w:b/>
          <w:bCs/>
        </w:rPr>
        <w:t xml:space="preserve">Definition 27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9"/>
    <w:bookmarkStart w:id="70" w:name="def-cartesian-product"/>
    <w:p>
      <w:pPr>
        <w:pStyle w:val="BodyText"/>
      </w:pPr>
      <w:r>
        <w:rPr>
          <w:b/>
          <w:bCs/>
        </w:rPr>
        <w:t xml:space="preserve">Definition 28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70"/>
    <w:bookmarkStart w:id="71" w:name="exm-cartesian-product"/>
    <w:p>
      <w:pPr>
        <w:pStyle w:val="FirstParagraph"/>
      </w:pPr>
      <w:r>
        <w:rPr>
          <w:b/>
          <w:bCs/>
        </w:rPr>
        <w:t xml:space="preserve">Example 18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71"/>
    <w:bookmarkEnd w:id="72"/>
    <w:bookmarkStart w:id="76" w:name="extended-non-negative-real-numbers"/>
    <w:p>
      <w:pPr>
        <w:pStyle w:val="Heading2"/>
      </w:pPr>
      <w:r>
        <w:t xml:space="preserve">3 Extended non-negative real numbers</w:t>
      </w:r>
    </w:p>
    <w:bookmarkStart w:id="73" w:name="def-extended-nonneg-reals"/>
    <w:p>
      <w:pPr>
        <w:pStyle w:val="FirstParagraph"/>
      </w:pPr>
      <w:r>
        <w:rPr>
          <w:b/>
          <w:bCs/>
        </w:rPr>
        <w:t xml:space="preserve">Definition 29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3"/>
    <w:bookmarkStart w:id="74" w:name="rem-infinity-arithmetic"/>
    <w:p>
      <w:pPr>
        <w:pStyle w:val="BodyText"/>
      </w:pPr>
      <w:r>
        <w:rPr>
          <w:i/>
          <w:iCs/>
        </w:rPr>
        <w:t xml:space="preserve">Remark 7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4"/>
    <w:bookmarkStart w:id="75" w:name="exm-extended-nonneg-reals"/>
    <w:p>
      <w:pPr>
        <w:pStyle w:val="BodyText"/>
      </w:pPr>
      <w:r>
        <w:rPr>
          <w:b/>
          <w:bCs/>
        </w:rPr>
        <w:t xml:space="preserve">Example 19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5"/>
    <w:bookmarkEnd w:id="76"/>
    <w:bookmarkStart w:id="77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7"/>
    <w:bookmarkStart w:id="121" w:name="references"/>
    <w:p>
      <w:pPr>
        <w:pStyle w:val="Heading2"/>
      </w:pPr>
      <w:r>
        <w:t xml:space="preserve">References</w:t>
      </w:r>
    </w:p>
    <w:bookmarkStart w:id="120" w:name="refs"/>
    <w:bookmarkStart w:id="79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https://en.wikipedia.org/wiki/Set_(mathematics)</w:t>
        </w:r>
      </w:hyperlink>
    </w:p>
    <w:bookmarkEnd w:id="79"/>
    <w:bookmarkStart w:id="81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https://en.wikipedia.org/wiki/Set-builder_notation</w:t>
        </w:r>
      </w:hyperlink>
    </w:p>
    <w:bookmarkEnd w:id="81"/>
    <w:bookmarkStart w:id="83" w:name="ref-wikipedia_subs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https://en.wikipedia.org/wiki/Subset</w:t>
        </w:r>
      </w:hyperlink>
    </w:p>
    <w:bookmarkEnd w:id="83"/>
    <w:bookmarkStart w:id="85" w:name="ref-wikipedia_empty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https://en.wikipedia.org/wiki/Empty_set</w:t>
        </w:r>
      </w:hyperlink>
    </w:p>
    <w:bookmarkEnd w:id="85"/>
    <w:bookmarkStart w:id="87" w:name="ref-wikipedia_vacuous_trut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https://en.wikipedia.org/wiki/Vacuous_truth</w:t>
        </w:r>
      </w:hyperlink>
    </w:p>
    <w:bookmarkEnd w:id="87"/>
    <w:bookmarkStart w:id="89" w:name="ref-wikipedia_interval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https://en.wikipedia.org/wiki/Interval_(mathematics)</w:t>
        </w:r>
      </w:hyperlink>
    </w:p>
    <w:bookmarkEnd w:id="89"/>
    <w:bookmarkStart w:id="91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https://en.wikipedia.org/wiki/Family_of_sets</w:t>
        </w:r>
      </w:hyperlink>
    </w:p>
    <w:bookmarkEnd w:id="91"/>
    <w:bookmarkStart w:id="93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https://en.wikipedia.org/wiki/Index_set</w:t>
        </w:r>
      </w:hyperlink>
    </w:p>
    <w:bookmarkEnd w:id="93"/>
    <w:bookmarkStart w:id="95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https://en.wikipedia.org/wiki/Indexed_family</w:t>
        </w:r>
      </w:hyperlink>
    </w:p>
    <w:bookmarkEnd w:id="95"/>
    <w:bookmarkStart w:id="97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https://en.wikipedia.org/wiki/Union_(set_theory)</w:t>
        </w:r>
      </w:hyperlink>
    </w:p>
    <w:bookmarkEnd w:id="97"/>
    <w:bookmarkStart w:id="99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https://en.wikipedia.org/wiki/Intersection_(set_theory)</w:t>
        </w:r>
      </w:hyperlink>
    </w:p>
    <w:bookmarkEnd w:id="99"/>
    <w:bookmarkStart w:id="101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https://en.wikipedia.org/wiki/Complement_(set_theory)</w:t>
        </w:r>
      </w:hyperlink>
    </w:p>
    <w:bookmarkEnd w:id="101"/>
    <w:bookmarkStart w:id="103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https://en.wikipedia.org/wiki/De_Morgan%27s_laws</w:t>
        </w:r>
      </w:hyperlink>
    </w:p>
    <w:bookmarkEnd w:id="103"/>
    <w:bookmarkStart w:id="105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https://en.wikipedia.org/wiki/Disjoint_sets</w:t>
        </w:r>
      </w:hyperlink>
    </w:p>
    <w:bookmarkEnd w:id="105"/>
    <w:bookmarkStart w:id="107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https://en.wikipedia.org/wiki/Ordered_pair</w:t>
        </w:r>
      </w:hyperlink>
    </w:p>
    <w:bookmarkEnd w:id="107"/>
    <w:bookmarkStart w:id="109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https://en.wikipedia.org/wiki/Cartesian_product</w:t>
        </w:r>
      </w:hyperlink>
    </w:p>
    <w:bookmarkEnd w:id="109"/>
    <w:bookmarkStart w:id="111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https://en.wikipedia.org/wiki/Extended_real_number_line</w:t>
        </w:r>
      </w:hyperlink>
    </w:p>
    <w:bookmarkEnd w:id="111"/>
    <w:bookmarkStart w:id="113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12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13"/>
    <w:bookmarkStart w:id="115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5"/>
    <w:bookmarkStart w:id="117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6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7"/>
    <w:bookmarkStart w:id="119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2026-10-27T17:33:04Z</dcterms:created>
  <dcterms:modified xsi:type="dcterms:W3CDTF">2026-10-27T17:33:04Z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09:35:20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