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2026-10-09 00:57:32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connective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quantifier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9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4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logical-entailment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6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6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19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1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1"/>
    <w:bookmarkStart w:id="35" w:name="sec-notation-naturals"/>
    <w:p>
      <w:pPr>
        <w:pStyle w:val="Heading2"/>
      </w:pPr>
      <w:r>
        <w:t xml:space="preserve">2 Natural numbers</w:t>
      </w:r>
    </w:p>
    <w:bookmarkStart w:id="22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2"/>
    <w:bookmarkStart w:id="23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3"/>
    <w:bookmarkStart w:id="24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4"/>
    <w:bookmarkStart w:id="25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5"/>
    <w:bookmarkStart w:id="26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6"/>
    <w:bookmarkStart w:id="27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27"/>
    <w:bookmarkStart w:id="28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28"/>
    <w:bookmarkStart w:id="29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29"/>
    <w:bookmarkStart w:id="30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5"/>
    <w:bookmarkStart w:id="46" w:name="sec-notation-reals"/>
    <w:p>
      <w:pPr>
        <w:pStyle w:val="Heading2"/>
      </w:pPr>
      <w:r>
        <w:t xml:space="preserve">3 Rational, real, and irrational numbers</w:t>
      </w:r>
    </w:p>
    <w:bookmarkStart w:id="36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6"/>
    <w:bookmarkStart w:id="37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7"/>
    <w:bookmarkStart w:id="38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8"/>
    <w:bookmarkStart w:id="39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39"/>
    <w:bookmarkStart w:id="40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0"/>
    <w:bookmarkStart w:id="41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1"/>
    <w:bookmarkStart w:id="45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2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3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5"/>
    <w:bookmarkEnd w:id="46"/>
    <w:bookmarkStart w:id="50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7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8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8"/>
    <w:bookmarkStart w:id="49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9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0"/>
    <w:bookmarkStart w:id="81" w:name="proofs"/>
    <w:p>
      <w:pPr>
        <w:pStyle w:val="Heading2"/>
      </w:pPr>
      <w:r>
        <w:t xml:space="preserve">5 Proofs</w:t>
      </w:r>
    </w:p>
    <w:bookmarkStart w:id="51" w:name="def-proposition"/>
    <w:p>
      <w:pPr>
        <w:pStyle w:val="FirstParagraph"/>
      </w:pPr>
      <w:r>
        <w:rPr>
          <w:b/>
          <w:bCs/>
        </w:rPr>
        <w:t xml:space="preserve">Definition 9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51"/>
    <w:bookmarkStart w:id="52" w:name="exm-proposition"/>
    <w:p>
      <w:pPr>
        <w:pStyle w:val="BodyText"/>
      </w:pPr>
      <w:r>
        <w:rPr>
          <w:b/>
          <w:bCs/>
        </w:rPr>
        <w:t xml:space="preserve">Example 8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52"/>
    <w:bookmarkStart w:id="53" w:name="def-predicate"/>
    <w:p>
      <w:pPr>
        <w:pStyle w:val="FirstParagraph"/>
      </w:pPr>
      <w:r>
        <w:rPr>
          <w:b/>
          <w:bCs/>
        </w:rPr>
        <w:t xml:space="preserve">Definition 10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53"/>
    <w:bookmarkStart w:id="54" w:name="exm-predicate"/>
    <w:p>
      <w:pPr>
        <w:pStyle w:val="BodyText"/>
      </w:pPr>
      <w:r>
        <w:rPr>
          <w:b/>
          <w:bCs/>
        </w:rPr>
        <w:t xml:space="preserve">Example 9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10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54"/>
    <w:bookmarkStart w:id="55" w:name="def-logical-connective"/>
    <w:p>
      <w:pPr>
        <w:pStyle w:val="FirstParagraph"/>
      </w:pPr>
      <w:r>
        <w:rPr>
          <w:b/>
          <w:bCs/>
        </w:rPr>
        <w:t xml:space="preserve">Definition 11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55"/>
    <w:bookmarkStart w:id="56" w:name="exm-logical-connective"/>
    <w:p>
      <w:pPr>
        <w:pStyle w:val="FirstParagraph"/>
      </w:pPr>
      <w:r>
        <w:rPr>
          <w:b/>
          <w:bCs/>
        </w:rPr>
        <w:t xml:space="preserve">Example 10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w:anchor="def-even-odd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2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56"/>
    <w:bookmarkStart w:id="57" w:name="def-quantifier"/>
    <w:p>
      <w:pPr>
        <w:pStyle w:val="FirstParagraph"/>
      </w:pPr>
      <w:r>
        <w:rPr>
          <w:b/>
          <w:bCs/>
        </w:rPr>
        <w:t xml:space="preserve">Definition 12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57"/>
    <w:bookmarkStart w:id="58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w:anchor="def-integers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58"/>
    <w:bookmarkStart w:id="59" w:name="def-inequality"/>
    <w:p>
      <w:pPr>
        <w:pStyle w:val="FirstParagraph"/>
      </w:pPr>
      <w:r>
        <w:rPr>
          <w:b/>
          <w:bCs/>
        </w:rPr>
        <w:t xml:space="preserve">Definition 13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w:anchor="def-real-numbers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9"/>
    <w:bookmarkStart w:id="60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60"/>
    <w:bookmarkStart w:id="61" w:name="def-logical-entailment"/>
    <w:p>
      <w:pPr>
        <w:pStyle w:val="FirstParagraph"/>
      </w:pPr>
      <w:r>
        <w:rPr>
          <w:b/>
          <w:bCs/>
        </w:rPr>
        <w:t xml:space="preserve">Definition 14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61"/>
    <w:bookmarkStart w:id="62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w:anchor="def-integers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62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63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64" w:name="def-proof"/>
    <w:p>
      <w:pPr>
        <w:pStyle w:val="BodyText"/>
      </w:pPr>
      <w:r>
        <w:rPr>
          <w:b/>
          <w:bCs/>
        </w:rPr>
        <w:t xml:space="preserve">Definition 15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9"/>
        </w:numPr>
      </w:pPr>
      <w:r>
        <w:t xml:space="preserve">an assumption,</w:t>
      </w:r>
    </w:p>
    <w:p>
      <w:pPr>
        <w:pStyle w:val="Compact"/>
        <w:numPr>
          <w:ilvl w:val="0"/>
          <w:numId w:val="1019"/>
        </w:numPr>
      </w:pPr>
      <w:r>
        <w:t xml:space="preserve">a definition,</w:t>
      </w:r>
    </w:p>
    <w:p>
      <w:pPr>
        <w:pStyle w:val="Compact"/>
        <w:numPr>
          <w:ilvl w:val="0"/>
          <w:numId w:val="1019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9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64"/>
    <w:bookmarkStart w:id="66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10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</w:p>
    <w:bookmarkEnd w:id="66"/>
    <w:bookmarkStart w:id="67" w:name="def-derivation"/>
    <w:p>
      <w:pPr>
        <w:pStyle w:val="BodyText"/>
      </w:pPr>
      <w:r>
        <w:rPr>
          <w:b/>
          <w:bCs/>
        </w:rPr>
        <w:t xml:space="preserve">Definition 16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  <w:r>
        <w:t xml:space="preserve"> </w:t>
      </w:r>
      <w:r>
        <w:t xml:space="preserve">The chain shows how its first expression compares with its last: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 first expression equals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 first is less than or equal to the last;</w:t>
      </w:r>
    </w:p>
    <w:p>
      <w:pPr>
        <w:pStyle w:val="Compact"/>
        <w:numPr>
          <w:ilvl w:val="0"/>
          <w:numId w:val="1020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 first is less than the last.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67"/>
    <w:bookmarkStart w:id="69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68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69"/>
    <w:bookmarkStart w:id="70" w:name="def-theorem"/>
    <w:p>
      <w:pPr>
        <w:pStyle w:val="BodyText"/>
      </w:pPr>
      <w:r>
        <w:rPr>
          <w:b/>
          <w:bCs/>
        </w:rPr>
        <w:t xml:space="preserve">Definition 17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2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70"/>
    <w:bookmarkStart w:id="71" w:name="rem-proposition-as-result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9</w:t>
        </w:r>
      </w:hyperlink>
      <w:r>
        <w:t xml:space="preserve">), whether or not it has been proved.</w:t>
      </w:r>
    </w:p>
    <w:bookmarkEnd w:id="71"/>
    <w:bookmarkStart w:id="72" w:name="exm-theorem"/>
    <w:p>
      <w:pPr>
        <w:pStyle w:val="BodyText"/>
      </w:pPr>
      <w:r>
        <w:rPr>
          <w:b/>
          <w:bCs/>
        </w:rPr>
        <w:t xml:space="preserve">Example 16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12</m:t>
        </m:r>
      </m:oMath>
      <w:r>
        <w:t xml:space="preserve">, which is even.</w:t>
      </w:r>
    </w:p>
    <w:bookmarkEnd w:id="72"/>
    <w:bookmarkStart w:id="73" w:name="def-counterexample"/>
    <w:p>
      <w:pPr>
        <w:pStyle w:val="BodyText"/>
      </w:pPr>
      <w:r>
        <w:rPr>
          <w:b/>
          <w:bCs/>
        </w:rPr>
        <w:t xml:space="preserve">Definition 18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73"/>
    <w:bookmarkStart w:id="74" w:name="exm-counterexample"/>
    <w:p>
      <w:pPr>
        <w:pStyle w:val="BodyText"/>
      </w:pPr>
      <w:r>
        <w:rPr>
          <w:b/>
          <w:bCs/>
        </w:rPr>
        <w:t xml:space="preserve">Example 17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74"/>
    <w:bookmarkStart w:id="75" w:name="def-converse"/>
    <w:p>
      <w:pPr>
        <w:pStyle w:val="BodyText"/>
      </w:pPr>
      <w:r>
        <w:rPr>
          <w:b/>
          <w:bCs/>
        </w:rPr>
        <w:t xml:space="preserve">Definition 19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75"/>
    <w:bookmarkStart w:id="76" w:name="exm-converse"/>
    <w:p>
      <w:pPr>
        <w:pStyle w:val="BodyText"/>
      </w:pPr>
      <w:r>
        <w:rPr>
          <w:b/>
          <w:bCs/>
        </w:rPr>
        <w:t xml:space="preserve">Example 18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22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76"/>
    <w:bookmarkStart w:id="77" w:name="def-necessary-sufficient"/>
    <w:p>
      <w:pPr>
        <w:pStyle w:val="BodyText"/>
      </w:pPr>
      <w:r>
        <w:rPr>
          <w:b/>
          <w:bCs/>
        </w:rPr>
        <w:t xml:space="preserve">Definition 20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19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77"/>
    <w:bookmarkStart w:id="78" w:name="exm-necessary-sufficient"/>
    <w:p>
      <w:pPr>
        <w:pStyle w:val="BodyText"/>
      </w:pPr>
      <w:r>
        <w:rPr>
          <w:b/>
          <w:bCs/>
        </w:rPr>
        <w:t xml:space="preserve">Example 19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3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3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78"/>
    <w:bookmarkStart w:id="79" w:name="def-proof-by-contradiction"/>
    <w:p>
      <w:pPr>
        <w:pStyle w:val="BodyText"/>
      </w:pPr>
      <w:r>
        <w:rPr>
          <w:b/>
          <w:bCs/>
        </w:rPr>
        <w:t xml:space="preserve">Definition 21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  <w:r>
        <w:t xml:space="preserve"> </w:t>
      </w:r>
      <w:r>
        <w:t xml:space="preserve">Since a true assumption cannot lead to a false proposition,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 must itself be false,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9"/>
    <w:bookmarkStart w:id="80" w:name="exm-proof-by-contradiction"/>
    <w:p>
      <w:pPr>
        <w:pStyle w:val="BodyText"/>
      </w:pPr>
      <w:r>
        <w:rPr>
          <w:b/>
          <w:bCs/>
        </w:rPr>
        <w:t xml:space="preserve">Example 20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w:anchor="def-even-odd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65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80"/>
    <w:bookmarkEnd w:id="81"/>
    <w:bookmarkStart w:id="118" w:name="sec-indicator-functions"/>
    <w:p>
      <w:pPr>
        <w:pStyle w:val="Heading2"/>
      </w:pPr>
      <w:r>
        <w:t xml:space="preserve">6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24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);</w:t>
      </w:r>
    </w:p>
    <w:p>
      <w:pPr>
        <w:pStyle w:val="Compact"/>
        <w:numPr>
          <w:ilvl w:val="0"/>
          <w:numId w:val="1024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24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24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82" w:name="def-indicator-function"/>
    <w:p>
      <w:pPr>
        <w:pStyle w:val="BodyText"/>
      </w:pPr>
      <w:r>
        <w:rPr>
          <w:b/>
          <w:bCs/>
        </w:rPr>
        <w:t xml:space="preserve">Definition 22 (Indicator function (set indicator, predicate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More generally,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82"/>
    <w:bookmarkStart w:id="83" w:name="exm-indicator-numerical"/>
    <w:p>
      <w:pPr>
        <w:pStyle w:val="FirstParagraph"/>
      </w:pPr>
      <w:r>
        <w:rPr>
          <w:b/>
          <w:bCs/>
        </w:rPr>
        <w:t xml:space="preserve">Example 21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25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6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4" w:name="def-binary-variable"/>
    <w:p>
      <w:pPr>
        <w:pStyle w:val="FirstParagraph"/>
      </w:pPr>
      <w:r>
        <w:rPr>
          <w:b/>
          <w:bCs/>
        </w:rPr>
        <w:t xml:space="preserve">Definition 23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84"/>
    <w:bookmarkStart w:id="85" w:name="exm-binary-variable"/>
    <w:p>
      <w:pPr>
        <w:pStyle w:val="BodyText"/>
      </w:pPr>
      <w:r>
        <w:rPr>
          <w:b/>
          <w:bCs/>
        </w:rPr>
        <w:t xml:space="preserve">Example 22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5"/>
    <w:bookmarkStart w:id="93" w:name="X156504d913efc1f49ad7c2e43ace68824d2fb5d"/>
    <w:p>
      <w:pPr>
        <w:pStyle w:val="Heading3"/>
      </w:pPr>
      <w:r>
        <w:t xml:space="preserve">6.1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86" w:name="def-set-predicate-notation"/>
    <w:p>
      <w:pPr>
        <w:pStyle w:val="BodyText"/>
      </w:pPr>
      <w:r>
        <w:rPr>
          <w:b/>
          <w:bCs/>
        </w:rPr>
        <w:t xml:space="preserve">Definition 24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10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86"/>
    <w:bookmarkStart w:id="87" w:name="exm-set-predicate-notation"/>
    <w:p>
      <w:pPr>
        <w:pStyle w:val="BodyText"/>
      </w:pPr>
      <w:r>
        <w:rPr>
          <w:b/>
          <w:bCs/>
        </w:rPr>
        <w:t xml:space="preserve">Example 23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87"/>
    <w:bookmarkStart w:id="88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28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88"/>
    <w:bookmarkStart w:id="89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29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29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w:anchor="def-inequality">
        <w:r>
          <w:rPr>
            <w:rStyle w:val="Hyperlink"/>
          </w:rPr>
          <w:t xml:space="preserve">Definition 13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89"/>
    <w:bookmarkStart w:id="92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90" w:name="def-support"/>
    <w:p>
      <w:pPr>
        <w:pStyle w:val="FirstParagraph"/>
      </w:pPr>
      <w:r>
        <w:rPr>
          <w:b/>
          <w:bCs/>
        </w:rPr>
        <w:t xml:space="preserve">Definition 25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90"/>
    <w:bookmarkStart w:id="91" w:name="exm-support"/>
    <w:p>
      <w:pPr>
        <w:pStyle w:val="BodyText"/>
      </w:pPr>
      <w:r>
        <w:rPr>
          <w:b/>
          <w:bCs/>
        </w:rPr>
        <w:t xml:space="preserve">Example 24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92"/>
    <w:bookmarkEnd w:id="93"/>
    <w:bookmarkStart w:id="100" w:name="iverson-bracket-notation"/>
    <w:p>
      <w:pPr>
        <w:pStyle w:val="Heading3"/>
      </w:pPr>
      <w:r>
        <w:t xml:space="preserve">6.2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94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95" w:name="def-iverson-bracket"/>
    <w:p>
      <w:pPr>
        <w:pStyle w:val="BodyText"/>
      </w:pPr>
      <w:r>
        <w:rPr>
          <w:b/>
          <w:bCs/>
        </w:rPr>
        <w:t xml:space="preserve">Definition 26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95"/>
    <w:bookmarkStart w:id="96" w:name="exm-iverson-bracket"/>
    <w:p>
      <w:pPr>
        <w:pStyle w:val="FirstParagraph"/>
      </w:pPr>
      <w:r>
        <w:rPr>
          <w:b/>
          <w:bCs/>
        </w:rPr>
        <w:t xml:space="preserve">Example 25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31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96"/>
    <w:bookmarkStart w:id="97" w:name="rem-iverson-indicator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22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become</w:t>
      </w:r>
      <w:r>
        <w:t xml:space="preserve"> </w:t>
      </w:r>
      <m:oMath>
        <m:r>
          <m:rPr>
            <m:sty m:val="p"/>
          </m:rPr>
          <m:t>[</m:t>
        </m:r>
        <m:r>
          <m:t>7.2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def-kronecker-delta"/>
    <w:p>
      <w:pPr>
        <w:pStyle w:val="BodyText"/>
      </w:pPr>
      <w:r>
        <w:rPr>
          <w:b/>
          <w:bCs/>
        </w:rPr>
        <w:t xml:space="preserve">Definition 27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26</w:t>
        </w:r>
      </w:hyperlink>
      <w:r>
        <w:t xml:space="preserve">).</w:t>
      </w:r>
    </w:p>
    <w:bookmarkEnd w:id="98"/>
    <w:bookmarkStart w:id="99" w:name="exm-kronecker-delta"/>
    <w:p>
      <w:pPr>
        <w:pStyle w:val="BodyText"/>
      </w:pPr>
      <w:r>
        <w:rPr>
          <w:b/>
          <w:bCs/>
        </w:rPr>
        <w:t xml:space="preserve">Example 26 (Evaluating the Kronecker delta)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2"/>
        </w:numPr>
      </w:pPr>
      <m:oMath>
        <m:sSub>
          <m:e>
            <m:r>
              <m:t>δ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9"/>
    <w:bookmarkEnd w:id="100"/>
    <w:bookmarkStart w:id="104" w:name="Xd6f58182005cccf55080a628cd9152d2b1165ed"/>
    <w:p>
      <w:pPr>
        <w:pStyle w:val="Heading3"/>
      </w:pPr>
      <w:r>
        <w:t xml:space="preserve">6.3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102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103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104"/>
    <w:bookmarkStart w:id="106" w:name="summary-of-indicator-notations"/>
    <w:p>
      <w:pPr>
        <w:pStyle w:val="Heading3"/>
      </w:pPr>
      <w:r>
        <w:t xml:space="preserve">6.4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05"/>
          <w:p/>
        </w:tc>
      </w:tr>
    </w:tbl>
    <w:bookmarkEnd w:id="106"/>
    <w:bookmarkStart w:id="107" w:name="conventions-in-this-book"/>
    <w:p>
      <w:pPr>
        <w:pStyle w:val="Heading3"/>
      </w:pPr>
      <w:r>
        <w:t xml:space="preserve">6.5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107"/>
    <w:bookmarkStart w:id="117" w:name="key-algebraic-properties"/>
    <w:p>
      <w:pPr>
        <w:pStyle w:val="Heading3"/>
      </w:pPr>
      <w:r>
        <w:t xml:space="preserve">6.6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109" w:name="def-idempotent"/>
    <w:p>
      <w:pPr>
        <w:pStyle w:val="BodyText"/>
      </w:pPr>
      <w:r>
        <w:rPr>
          <w:b/>
          <w:bCs/>
        </w:rPr>
        <w:t xml:space="preserve">Definition 28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108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109"/>
    <w:bookmarkStart w:id="111" w:name="exm-idempotent-indicator"/>
    <w:p>
      <w:pPr>
        <w:pStyle w:val="BodyText"/>
      </w:pPr>
      <w:r>
        <w:rPr>
          <w:b/>
          <w:bCs/>
        </w:rPr>
        <w:t xml:space="preserve">Example 27 (Idempotent numbers and indicators)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4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34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r:id="rId110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111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12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35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28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35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113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114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11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116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36"/>
        </w:numPr>
      </w:pPr>
      <w:r>
        <w:t xml:space="preserve">empirical proportions;</w:t>
      </w:r>
    </w:p>
    <w:p>
      <w:pPr>
        <w:pStyle w:val="Compact"/>
        <w:numPr>
          <w:ilvl w:val="0"/>
          <w:numId w:val="1036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36"/>
        </w:numPr>
      </w:pPr>
      <w:r>
        <w:t xml:space="preserve">regression models for binary outcomes.</w:t>
      </w:r>
    </w:p>
    <w:bookmarkEnd w:id="117"/>
    <w:bookmarkEnd w:id="118"/>
    <w:bookmarkStart w:id="137" w:name="sec-notational-shorthands"/>
    <w:p>
      <w:pPr>
        <w:pStyle w:val="Heading2"/>
      </w:pPr>
      <w:r>
        <w:t xml:space="preserve">7 Notational shorthands</w:t>
      </w:r>
    </w:p>
    <w:bookmarkStart w:id="121" w:name="def-lower-upper-limits"/>
    <w:p>
      <w:pPr>
        <w:pStyle w:val="FirstParagraph"/>
      </w:pPr>
      <w:r>
        <w:rPr>
          <w:b/>
          <w:bCs/>
        </w:rPr>
        <w:t xml:space="preserve">Definition 29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119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120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121"/>
    <w:bookmarkStart w:id="122" w:name="exm-lower-upper-limits"/>
    <w:p>
      <w:pPr>
        <w:pStyle w:val="BodyText"/>
      </w:pPr>
      <w:r>
        <w:rPr>
          <w:b/>
          <w:bCs/>
        </w:rPr>
        <w:t xml:space="preserve">Example 28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2"/>
    <w:bookmarkStart w:id="124" w:name="rem-limits-two-meanings"/>
    <w:p>
      <w:pPr>
        <w:pStyle w:val="FirstParagraph"/>
      </w:pPr>
      <w:r>
        <w:rPr>
          <w:i/>
          <w:iCs/>
        </w:rPr>
        <w:t xml:space="preserve">Remark 4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2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6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24"/>
    <w:bookmarkStart w:id="125" w:name="def-notational-shorthand"/>
    <w:p>
      <w:pPr>
        <w:pStyle w:val="BodyText"/>
      </w:pPr>
      <w:r>
        <w:rPr>
          <w:b/>
          <w:bCs/>
        </w:rPr>
        <w:t xml:space="preserve">Definition 30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28" w:name="def-range-of-variable"/>
    <w:p>
      <w:pPr>
        <w:pStyle w:val="FirstParagraph"/>
      </w:pPr>
      <w:r>
        <w:rPr>
          <w:b/>
          <w:bCs/>
        </w:rPr>
        <w:t xml:space="preserve">Definition 31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2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32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119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33"/>
          <w:p/>
        </w:tc>
      </w:tr>
    </w:tbl>
    <w:bookmarkStart w:id="135" w:name="rem-indefinite-integral-not-shorthand"/>
    <w:p>
      <w:pPr>
        <w:pStyle w:val="BodyText"/>
      </w:pPr>
      <w:r>
        <w:rPr>
          <w:i/>
          <w:iCs/>
        </w:rPr>
        <w:t xml:space="preserve">Remark 5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3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35"/>
    <w:bookmarkStart w:id="136" w:name="exm-expand-index-shorthand"/>
    <w:p>
      <w:pPr>
        <w:pStyle w:val="BodyText"/>
      </w:pPr>
      <w:r>
        <w:rPr>
          <w:b/>
          <w:bCs/>
        </w:rPr>
        <w:t xml:space="preserve">Example 29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36"/>
    <w:bookmarkEnd w:id="137"/>
    <w:bookmarkStart w:id="144" w:name="X93a3d4ef5e06a67ae6b891e46b41b74b3674f55"/>
    <w:p>
      <w:pPr>
        <w:pStyle w:val="Heading2"/>
      </w:pPr>
      <w:r>
        <w:t xml:space="preserve">8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38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39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40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41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42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43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44"/>
    <w:bookmarkStart w:id="146" w:name="sec-further-reading"/>
    <w:p>
      <w:pPr>
        <w:pStyle w:val="Heading2"/>
      </w:pPr>
      <w:r>
        <w:t xml:space="preserve">9 Further reading</w:t>
      </w:r>
    </w:p>
    <w:p>
      <w:pPr>
        <w:pStyle w:val="FirstParagraph"/>
      </w:pPr>
      <w:r>
        <w:t xml:space="preserve">For the logical symbols and proof conventions used in these notes:</w:t>
      </w:r>
    </w:p>
    <w:p>
      <w:pPr>
        <w:pStyle w:val="Compact"/>
        <w:numPr>
          <w:ilvl w:val="0"/>
          <w:numId w:val="1039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w:anchor="def-logical-connective">
        <w:r>
          <w:rPr>
            <w:rStyle w:val="Hyperlink"/>
          </w:rPr>
          <w:t xml:space="preserve">Definition 11</w:t>
        </w:r>
      </w:hyperlink>
      <w:r>
        <w:t xml:space="preserve">) and quantifiers (</w:t>
      </w:r>
      <w:hyperlink w:anchor="def-quantifier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39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45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46"/>
    <w:bookmarkStart w:id="155" w:name="references"/>
    <w:p>
      <w:pPr>
        <w:pStyle w:val="Heading2"/>
      </w:pPr>
      <w:r>
        <w:t xml:space="preserve">References</w:t>
      </w:r>
    </w:p>
    <w:bookmarkStart w:id="154" w:name="refs"/>
    <w:bookmarkStart w:id="14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4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48"/>
    <w:bookmarkStart w:id="150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49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50"/>
    <w:bookmarkStart w:id="15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51"/>
    <w:bookmarkStart w:id="153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52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53"/>
    <w:bookmarkEnd w:id="154"/>
    <w:bookmarkEnd w:id="1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18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lgebra.qmd#def-distributive" TargetMode="External" /><Relationship Type="http://schemas.openxmlformats.org/officeDocument/2006/relationships/hyperlink" Id="rId116" Target="algebra.qmd#def-identity" TargetMode="External" /><Relationship Type="http://schemas.openxmlformats.org/officeDocument/2006/relationships/hyperlink" Id="rId63" Target="algebra.qmd#def-sequence-limit" TargetMode="External" /><Relationship Type="http://schemas.openxmlformats.org/officeDocument/2006/relationships/hyperlink" Id="rId42" Target="algebra.qmd#def-square-root" TargetMode="External" /><Relationship Type="http://schemas.openxmlformats.org/officeDocument/2006/relationships/hyperlink" Id="rId132" Target="algebra.qmd#def-sum-over-set" TargetMode="External" /><Relationship Type="http://schemas.openxmlformats.org/officeDocument/2006/relationships/hyperlink" Id="rId119" Target="algebra.qmd#def-summation" TargetMode="External" /><Relationship Type="http://schemas.openxmlformats.org/officeDocument/2006/relationships/hyperlink" Id="rId10" Target="algebra.qmd#sec-summation" TargetMode="External" /><Relationship Type="http://schemas.openxmlformats.org/officeDocument/2006/relationships/hyperlink" Id="rId68" Target="algebra.qmd#thm-square-of-a-sum" TargetMode="External" /><Relationship Type="http://schemas.openxmlformats.org/officeDocument/2006/relationships/hyperlink" Id="rId13" Target="calculus.qmd#def-derivative" TargetMode="External" /><Relationship Type="http://schemas.openxmlformats.org/officeDocument/2006/relationships/hyperlink" Id="rId134" Target="calculus.qmd#def-indefinite-integral" TargetMode="External" /><Relationship Type="http://schemas.openxmlformats.org/officeDocument/2006/relationships/hyperlink" Id="rId123" Target="calculus.qmd#def-limit" TargetMode="External" /><Relationship Type="http://schemas.openxmlformats.org/officeDocument/2006/relationships/hyperlink" Id="rId120" Target="calculus.qmd#def-riemann-integral" TargetMode="External" /><Relationship Type="http://schemas.openxmlformats.org/officeDocument/2006/relationships/hyperlink" Id="rId152" Target="https://doi.org/10.1017/9781108539890" TargetMode="External" /><Relationship Type="http://schemas.openxmlformats.org/officeDocument/2006/relationships/hyperlink" Id="rId149" Target="https://doi.org/10.2307/2344614" TargetMode="External" /><Relationship Type="http://schemas.openxmlformats.org/officeDocument/2006/relationships/hyperlink" Id="rId34" Target="https://en.wikipedia.org/w/index.php?title=Natural_number&amp;oldid=1375965996" TargetMode="External" /><Relationship Type="http://schemas.openxmlformats.org/officeDocument/2006/relationships/hyperlink" Id="rId139" Target="https://en.wikipedia.org/wiki/Al-Jabr" TargetMode="External" /><Relationship Type="http://schemas.openxmlformats.org/officeDocument/2006/relationships/hyperlink" Id="rId140" Target="https://en.wikipedia.org/wiki/Arithmetic#History" TargetMode="External" /><Relationship Type="http://schemas.openxmlformats.org/officeDocument/2006/relationships/hyperlink" Id="rId16" Target="https://en.wikipedia.org/wiki/Generalized_linear_model#:~:text=The%20linear%20predictor%20is%20the,data%20through%20the%20link%20function" TargetMode="External" /><Relationship Type="http://schemas.openxmlformats.org/officeDocument/2006/relationships/hyperlink" Id="rId142" Target="https://en.wikipedia.org/wiki/History_of_statistics#Development_of_modern_statistics" TargetMode="External" /><Relationship Type="http://schemas.openxmlformats.org/officeDocument/2006/relationships/hyperlink" Id="rId94" Target="https://en.wikipedia.org/wiki/Iverson_bracket" TargetMode="External" /><Relationship Type="http://schemas.openxmlformats.org/officeDocument/2006/relationships/hyperlink" Id="rId138" Target="https://en.wikipedia.org/wiki/Leibniz%27s_notation" TargetMode="External" /><Relationship Type="http://schemas.openxmlformats.org/officeDocument/2006/relationships/hyperlink" Id="rId141" Target="https://en.wikipedia.org/wiki/Notation_for_differentiation" TargetMode="External" /><Relationship Type="http://schemas.openxmlformats.org/officeDocument/2006/relationships/hyperlink" Id="rId47" Target="https://en.wikipedia.org/wiki/Percentage" TargetMode="External" /><Relationship Type="http://schemas.openxmlformats.org/officeDocument/2006/relationships/hyperlink" Id="rId44" Target="https://en.wikipedia.org/wiki/Proof_that_%CF%80_is_irrational" TargetMode="External" /><Relationship Type="http://schemas.openxmlformats.org/officeDocument/2006/relationships/hyperlink" Id="rId43" Target="https://en.wikipedia.org/wiki/Square_root_of_2" TargetMode="External" /><Relationship Type="http://schemas.openxmlformats.org/officeDocument/2006/relationships/hyperlink" Id="rId143" Target="https://en.wikipedia.org/wiki/The_Structure_of_Scientific_Revolutions" TargetMode="External" /><Relationship Type="http://schemas.openxmlformats.org/officeDocument/2006/relationships/hyperlink" Id="rId103" Target="https://morrison-lab.github.io/pds/expectation.html#def-cond-expectation" TargetMode="External" /><Relationship Type="http://schemas.openxmlformats.org/officeDocument/2006/relationships/hyperlink" Id="rId12" Target="https://morrison-lab.github.io/pds/expectation.html#def-expectation" TargetMode="External" /><Relationship Type="http://schemas.openxmlformats.org/officeDocument/2006/relationships/hyperlink" Id="rId15" Target="https://morrison-lab.github.io/pds/independence.html#def-indpt" TargetMode="External" /><Relationship Type="http://schemas.openxmlformats.org/officeDocument/2006/relationships/hyperlink" Id="rId9" Target="https://morrison-lab.github.io/pds/probability-basics.html#def-conditional-prob" TargetMode="External" /><Relationship Type="http://schemas.openxmlformats.org/officeDocument/2006/relationships/hyperlink" Id="rId114" Target="https://morrison-lab.github.io/pds/probability-basics.html#def-event" TargetMode="External" /><Relationship Type="http://schemas.openxmlformats.org/officeDocument/2006/relationships/hyperlink" Id="rId115" Target="https://morrison-lab.github.io/pds/probability-basics.html#def-probability" TargetMode="External" /><Relationship Type="http://schemas.openxmlformats.org/officeDocument/2006/relationships/hyperlink" Id="rId113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20" Target="https://quarto.org/docs/authoring/markdown-basics.html#equations" TargetMode="External" /><Relationship Type="http://schemas.openxmlformats.org/officeDocument/2006/relationships/hyperlink" Id="rId147" Target="https://www.amazon.com/dp/1575866323" TargetMode="External" /><Relationship Type="http://schemas.openxmlformats.org/officeDocument/2006/relationships/hyperlink" Id="rId110" Target="linear-algebra.qmd#def-idempotent-matrix" TargetMode="External" /><Relationship Type="http://schemas.openxmlformats.org/officeDocument/2006/relationships/hyperlink" Id="rId18" Target="linear-algebra.qmd#def-linear-combination" TargetMode="External" /><Relationship Type="http://schemas.openxmlformats.org/officeDocument/2006/relationships/hyperlink" Id="rId145" Target="sets-functions.qmd" TargetMode="External" /><Relationship Type="http://schemas.openxmlformats.org/officeDocument/2006/relationships/hyperlink" Id="rId112" Target="sets-functions.qmd#def-complement" TargetMode="External" /><Relationship Type="http://schemas.openxmlformats.org/officeDocument/2006/relationships/hyperlink" Id="rId108" Target="sets-functions.qmd#def-domain" TargetMode="External" /><Relationship Type="http://schemas.openxmlformats.org/officeDocument/2006/relationships/hyperlink" Id="rId101" Target="sets-functions.qmd#def-finite-set" TargetMode="External" /><Relationship Type="http://schemas.openxmlformats.org/officeDocument/2006/relationships/hyperlink" Id="rId129" Target="sets-functions.qmd#def-function" TargetMode="External" /><Relationship Type="http://schemas.openxmlformats.org/officeDocument/2006/relationships/hyperlink" Id="rId130" Target="sets-functions.qmd#def-image" TargetMode="External" /><Relationship Type="http://schemas.openxmlformats.org/officeDocument/2006/relationships/hyperlink" Id="rId102" Target="sets-functions.qmd#def-interval" TargetMode="External" /><Relationship Type="http://schemas.openxmlformats.org/officeDocument/2006/relationships/hyperlink" Id="rId131" Target="sets-functions.qmd#rem-image-ran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2026-10-09T08:12:28Z</dcterms:created>
  <dcterms:modified xsi:type="dcterms:W3CDTF">2026-10-09T08:12:28Z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00:57:32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