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2026-10-06 17:09:33 (PDT)</w:t>
      </w:r>
    </w:p>
    <w:p>
      <w:pPr>
        <w:pStyle w:val="FirstParagraph"/>
      </w:pPr>
      <w:r>
        <w:t xml:space="preserve">Mathematical notation is not standardized.</w:t>
      </w:r>
      <w:r>
        <w:t xml:space="preserve"> </w:t>
      </w:r>
      <w:r>
        <w:t xml:space="preserve">This section states the conventions these notes use,</w:t>
      </w:r>
      <w:r>
        <w:t xml:space="preserve"> </w:t>
      </w:r>
      <w:r>
        <w:t xml:space="preserve">and the alternatives you may meet in other sources.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notation-collecte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used in this book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391"/>
              <w:gridCol w:w="5351"/>
              <w:gridCol w:w="117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¬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connective">
                    <w:r>
                      <w:rPr>
                        <w:rStyle w:val="Hyperlink"/>
                      </w:rPr>
                      <w:t xml:space="preserve">not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\neg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∀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for all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\forall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∃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quantifier">
                    <w:r>
                      <w:rPr>
                        <w:rStyle w:val="Hyperlink"/>
                      </w:rPr>
                      <w:t xml:space="preserve">there exists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\exists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∪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union,</w:t>
                  </w:r>
                  <w:r>
                    <w:t xml:space="preserve"> </w:t>
                  </w:r>
                  <w:r>
                    <w:t xml:space="preserve">“or”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∩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intersection,</w:t>
                  </w:r>
                  <w:r>
                    <w:t xml:space="preserve"> </w:t>
                  </w:r>
                  <w:r>
                    <w:t xml:space="preserve">“and”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\cap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∣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given,</w:t>
                  </w:r>
                  <w:r>
                    <w:t xml:space="preserve"> </w:t>
                  </w:r>
                  <w:hyperlink r:id="rId9">
                    <w:r>
                      <w:rPr>
                        <w:rStyle w:val="Hyperlink"/>
                      </w:rPr>
                      <w:t xml:space="preserve">conditional 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\mid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|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sum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\sum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product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\prod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μ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 of a</w:t>
                  </w:r>
                  <w:r>
                    <w:t xml:space="preserve"> </w:t>
                  </w:r>
                  <w:hyperlink r:id="rId11">
                    <w:r>
                      <w:rPr>
                        <w:rStyle w:val="Hyperlink"/>
                      </w:rPr>
                      <w:t xml:space="preserve">random variable</w:t>
                    </w:r>
                  </w:hyperlink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\mu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E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expectation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\mathbb{E}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x^{\top}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′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transpose or</w:t>
                  </w:r>
                  <w:r>
                    <w:t xml:space="preserve"> </w:t>
                  </w:r>
                  <w:hyperlink r:id="rId13">
                    <w:r>
                      <w:rPr>
                        <w:rStyle w:val="Hyperlink"/>
                      </w:rPr>
                      <w:t xml:space="preserve">derivative</w:t>
                    </w:r>
                  </w:hyperlink>
                  <w:r>
                    <w:rPr>
                      <w:rStyle w:val="FootnoteReference"/>
                    </w:rPr>
                    <w:footnoteReference w:id="14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'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5">
                    <w:r>
                      <w:rPr>
                        <w:rStyle w:val="Hyperlink"/>
                      </w:rPr>
                      <w:t xml:space="preserve">independent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\perp\!\!\!\perp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∴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logical-entailment">
                    <w:r>
                      <w:rPr>
                        <w:rStyle w:val="Hyperlink"/>
                      </w:rPr>
                      <w:t xml:space="preserve">therefore</w:t>
                    </w:r>
                  </w:hyperlink>
                  <w:r>
                    <w:t xml:space="preserve">, thus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\therefore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r:id="rId16">
                    <w:r>
                      <w:rPr>
                        <w:rStyle w:val="Hyperlink"/>
                      </w:rPr>
                      <w:t xml:space="preserve">linear predictor</w:t>
                    </w:r>
                  </w:hyperlink>
                  <w:r>
                    <w:t xml:space="preserve"> </w:t>
                  </w:r>
                  <w:r>
                    <w:t xml:space="preserve">of a generalized linear model</w:t>
                  </w:r>
                  <w:r>
                    <w:rPr>
                      <w:rStyle w:val="FootnoteReference"/>
                    </w:rPr>
                    <w:footnoteReference w:id="17"/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\eta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⌊"/>
                        <m:sepChr m:val=""/>
                        <m:endChr m:val="⌋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floor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largest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less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\lfloor x \rfloor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​</m:t>
                    </m:r>
                    <m:d>
                      <m:dPr>
                        <m:begChr m:val="⌈"/>
                        <m:sepChr m:val=""/>
                        <m:endChr m:val="⌉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ceiling of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: smallest</w:t>
                  </w:r>
                  <w:r>
                    <w:t xml:space="preserve"> </w:t>
                  </w:r>
                  <w:hyperlink w:anchor="def-integers">
                    <w:r>
                      <w:rPr>
                        <w:rStyle w:val="Hyperlink"/>
                      </w:rPr>
                      <w:t xml:space="preserve">integer</w:t>
                    </w:r>
                  </w:hyperlink>
                  <w:r>
                    <w:t xml:space="preserve"> </w:t>
                  </w:r>
                  <w:r>
                    <w:t xml:space="preserve">greater than or equal to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\lceil x \rceil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P</m:t>
                        </m:r>
                      </m:e>
                    </m:d>
                    <m:r>
                      <m:t>​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indicator function (</w:t>
                  </w:r>
                  <w:hyperlink w:anchor="sec-indicator-functions">
                    <w:r>
                      <w:rPr>
                        <w:rStyle w:val="Hyperlink"/>
                      </w:rPr>
                      <w:t xml:space="preserve">Section 6</w:t>
                    </w:r>
                  </w:hyperlink>
                  <w:r>
                    <w:t xml:space="preserve">):</w:t>
                  </w:r>
                  <w:r>
                    <w:t xml:space="preserve"> </w:t>
                  </w:r>
                  <m:oMath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if condition holds,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otherwise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\indic{A}(x)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\indicp{P}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links for conditioning, random variables, expectation, and independence</w:t>
      </w:r>
      <w:r>
        <w:t xml:space="preserve"> </w:t>
      </w:r>
      <w:r>
        <w:t xml:space="preserve">go to the Morrison Lab’s probability notes,</w:t>
      </w:r>
      <w:r>
        <w:t xml:space="preserve"> </w:t>
      </w:r>
      <w:r>
        <w:t xml:space="preserve">which define those terms.</w:t>
      </w:r>
    </w:p>
    <w:bookmarkStart w:id="21" w:name="sec-writing-math-quarto"/>
    <w:p>
      <w:pPr>
        <w:pStyle w:val="Heading2"/>
      </w:pPr>
      <w:r>
        <w:t xml:space="preserve">1 Writing math in Quarto</w:t>
      </w:r>
    </w:p>
    <w:p>
      <w:pPr>
        <w:pStyle w:val="FirstParagraph"/>
      </w:pPr>
      <w:r>
        <w:t xml:space="preserve">The third column of</w:t>
      </w:r>
      <w:r>
        <w:t xml:space="preserve"> </w:t>
      </w:r>
      <w:hyperlink w:anchor="tbl-notation-collecte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gives the LaTeX command for each symbol.</w:t>
      </w:r>
      <w:r>
        <w:t xml:space="preserve"> </w:t>
      </w:r>
      <w:r>
        <w:t xml:space="preserve">Quarto and R Markdown documents write math in LaTeX syntax:</w:t>
      </w:r>
      <w:r>
        <w:t xml:space="preserve"> </w:t>
      </w:r>
      <w:r>
        <w:t xml:space="preserve">put inline math between single dollar signs, as in</w:t>
      </w:r>
      <w:r>
        <w:t xml:space="preserve"> </w:t>
      </w:r>
      <w:r>
        <w:rPr>
          <w:rStyle w:val="VerbatimChar"/>
        </w:rPr>
        <w:t xml:space="preserve">$x^2$</w:t>
      </w:r>
      <w:r>
        <w:t xml:space="preserve">,</w:t>
      </w:r>
      <w:r>
        <w:t xml:space="preserve"> </w:t>
      </w:r>
      <w:r>
        <w:t xml:space="preserve">and displayed equations between double dollar signs, as in</w:t>
      </w:r>
      <w:r>
        <w:t xml:space="preserve"> </w:t>
      </w:r>
      <w:r>
        <w:rPr>
          <w:rStyle w:val="VerbatimChar"/>
        </w:rPr>
        <w:t xml:space="preserve">$$x^2$$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equations section of Quarto’s Markdown guide</w:t>
        </w:r>
      </w:hyperlink>
      <w:r>
        <w:t xml:space="preserve"> </w:t>
      </w:r>
      <w:r>
        <w:t xml:space="preserve">shows the details.</w:t>
      </w:r>
      <w:r>
        <w:t xml:space="preserve"> </w:t>
      </w:r>
      <w:r>
        <w:t xml:space="preserve">These notes also use shorthand macros,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\floor{x}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defined in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r>
        <w:t xml:space="preserve">submodule’s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.</w:t>
      </w:r>
    </w:p>
    <w:bookmarkEnd w:id="21"/>
    <w:bookmarkStart w:id="35" w:name="sec-notation-naturals"/>
    <w:p>
      <w:pPr>
        <w:pStyle w:val="Heading2"/>
      </w:pPr>
      <w:r>
        <w:t xml:space="preserve">2 Natural numbers</w:t>
      </w:r>
    </w:p>
    <w:bookmarkStart w:id="22" w:name="exr-naturals-below-three"/>
    <w:p>
      <w:pPr>
        <w:pStyle w:val="FirstParagraph"/>
      </w:pPr>
      <w:r>
        <w:rPr>
          <w:b/>
          <w:bCs/>
        </w:rPr>
        <w:t xml:space="preserve">Exercise 1 (Which numbers are natural?)</w:t>
      </w:r>
      <w:r>
        <w:t xml:space="preserve"> </w:t>
      </w:r>
      <w:r>
        <w:t xml:space="preserve">List the elements of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N</m:t>
            </m:r>
            <m:r>
              <m:rPr>
                <m:sty m:val="p"/>
              </m:rPr>
              <m:t>:</m:t>
            </m:r>
            <m:r>
              <m:t>n</m:t>
            </m:r>
            <m:r>
              <m:rPr>
                <m:sty m:val="p"/>
              </m:rPr>
              <m:t>&lt;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Is your answer the same in every textbook?</w:t>
      </w:r>
    </w:p>
    <w:bookmarkEnd w:id="22"/>
    <w:bookmarkStart w:id="23" w:name="sol-naturals-below-thre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The answer depends on whether the source counts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 a natural number: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0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starts at</w:t>
      </w:r>
      <w:r>
        <w:t xml:space="preserve"> </w:t>
      </w:r>
      <m:oMath>
        <m:r>
          <m:t>1</m:t>
        </m:r>
      </m:oMath>
      <w:r>
        <w:t xml:space="preserve">, the set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Both conventions are in common use,</w:t>
      </w:r>
      <w:r>
        <w:t xml:space="preserve"> </w:t>
      </w:r>
      <w:r>
        <w:t xml:space="preserve">so the answer is not the same in every textbook.</w:t>
      </w:r>
    </w:p>
    <w:bookmarkEnd w:id="23"/>
    <w:bookmarkStart w:id="24" w:name="def-integers"/>
    <w:p>
      <w:pPr>
        <w:pStyle w:val="BodyText"/>
      </w:pPr>
      <w:r>
        <w:rPr>
          <w:b/>
          <w:bCs/>
        </w:rPr>
        <w:t xml:space="preserve">Definition 1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  <w:r>
        <w:t xml:space="preserve"> </w:t>
      </w:r>
      <w:r>
        <w:t xml:space="preserve">The integers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,</w:t>
      </w:r>
      <w:r>
        <w:t xml:space="preserve"> </w:t>
      </w:r>
      <w:r>
        <w:t xml:space="preserve">and the integers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24"/>
    <w:bookmarkStart w:id="25" w:name="exm-integers"/>
    <w:p>
      <w:pPr>
        <w:pStyle w:val="BodyText"/>
      </w:pPr>
      <w:r>
        <w:rPr>
          <w:b/>
          <w:bCs/>
        </w:rPr>
        <w:t xml:space="preserve">Example 1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2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5"/>
    <w:bookmarkStart w:id="26" w:name="def-even-odd"/>
    <w:p>
      <w:pPr>
        <w:pStyle w:val="FirstParagraph"/>
      </w:pPr>
      <w:r>
        <w:rPr>
          <w:b/>
          <w:bCs/>
        </w:rPr>
        <w:t xml:space="preserve">Definition 2 (Even and odd integers)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26"/>
    <w:bookmarkStart w:id="27" w:name="exm-even-odd"/>
    <w:p>
      <w:pPr>
        <w:pStyle w:val="BodyText"/>
      </w:pPr>
      <w:r>
        <w:rPr>
          <w:b/>
          <w:bCs/>
        </w:rPr>
        <w:t xml:space="preserve">Example 2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27"/>
    <w:bookmarkStart w:id="28" w:name="def-natural-numbers"/>
    <w:p>
      <w:pPr>
        <w:pStyle w:val="FirstParagraph"/>
      </w:pPr>
      <w:r>
        <w:rPr>
          <w:b/>
          <w:bCs/>
        </w:rPr>
        <w:t xml:space="preserve">Definition 3 (Natural numbers (our convention))</w:t>
      </w:r>
      <w:r>
        <w:t xml:space="preserve"> </w:t>
      </w:r>
      <w:r>
        <w:t xml:space="preserve">In these notes, the</w:t>
      </w:r>
      <w:r>
        <w:t xml:space="preserve"> </w:t>
      </w:r>
      <w:r>
        <w:rPr>
          <w:b/>
          <w:bCs/>
        </w:rPr>
        <w:t xml:space="preserve">natural numbers</w:t>
      </w:r>
      <w:r>
        <w:t xml:space="preserve"> </w:t>
      </w:r>
      <w:r>
        <w:t xml:space="preserve">are the positive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bookmarkEnd w:id="28"/>
    <w:bookmarkStart w:id="29" w:name="def-nonnegative-integers"/>
    <w:p>
      <w:pPr>
        <w:pStyle w:val="FirstParagraph"/>
      </w:pPr>
      <w:r>
        <w:rPr>
          <w:b/>
          <w:bCs/>
        </w:rPr>
        <w:t xml:space="preserve">Definition 4 (Non-negative 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non-negative integers</w:t>
      </w:r>
      <w:r>
        <w:t xml:space="preserve"> </w:t>
      </w:r>
      <w:r>
        <w:t xml:space="preserve">are the natural numbers (</w:t>
      </w:r>
      <w:hyperlink w:anchor="def-natural-numbers">
        <w:r>
          <w:rPr>
            <w:rStyle w:val="Hyperlink"/>
          </w:rPr>
          <w:t xml:space="preserve">Definition 3</w:t>
        </w:r>
      </w:hyperlink>
      <w:r>
        <w:t xml:space="preserve">) together with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N</m:t>
              </m:r>
            </m:e>
            <m:sub>
              <m:r>
                <m:t>0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</m:e>
          </m:d>
          <m:r>
            <m:t>​</m:t>
          </m:r>
        </m:oMath>
      </m:oMathPara>
    </w:p>
    <w:bookmarkEnd w:id="29"/>
    <w:bookmarkStart w:id="30" w:name="exm-natural-numbers"/>
    <w:p>
      <w:pPr>
        <w:pStyle w:val="FirstParagraph"/>
      </w:pPr>
      <w:r>
        <w:rPr>
          <w:b/>
          <w:bCs/>
        </w:rPr>
        <w:t xml:space="preserve">Example 3 (Natural numbers in a data analysis)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w:r>
        <w:t xml:space="preserve">Observation indices start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we write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 count outcome, such as the number of hospital visits in a year,</w:t>
      </w:r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the set of values it can take 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, not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.</w:t>
      </w:r>
    </w:p>
    <w:bookmarkEnd w:id="3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Other conventions for the natural numbers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Other sources may define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differently,</w:t>
            </w:r>
            <w:r>
              <w:t xml:space="preserve"> </w:t>
            </w:r>
            <w:r>
              <w:t xml:space="preserve">so check each source’s definition before reading its formulas: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Many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international standard ISO 80000-2 defines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to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continuing the earlier standard ISO 31-11 (1978).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Other sources start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N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as these notes do.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To remove the ambiguity,</w:t>
            </w:r>
            <w:r>
              <w:t xml:space="preserve"> </w:t>
            </w:r>
            <w:r>
              <w:t xml:space="preserve">some sources write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rPr>
                      <m:scr m:val="double-struck"/>
                      <m:sty m:val="p"/>
                    </m:rP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Z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words vary too.</w:t>
            </w:r>
            <w:r>
              <w:t xml:space="preserve"> </w:t>
            </w:r>
            <w:r>
              <w:t xml:space="preserve">“Positive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“non-negative integers”</w:t>
            </w:r>
            <w:r>
              <w:t xml:space="preserve"> </w:t>
            </w:r>
            <w:r>
              <w:t xml:space="preserve">(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are unambiguous.</w:t>
            </w:r>
            <w:r>
              <w:t xml:space="preserve"> </w:t>
            </w:r>
            <w:r>
              <w:t xml:space="preserve">“Whole numbers”</w:t>
            </w:r>
            <w:r>
              <w:t xml:space="preserve"> </w:t>
            </w:r>
            <w:r>
              <w:t xml:space="preserve">usually includes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can also mean all of the integers, negative ones included.</w:t>
            </w:r>
            <w:r>
              <w:t xml:space="preserve"> </w:t>
            </w:r>
            <w:r>
              <w:t xml:space="preserve">“Counting numbers”</w:t>
            </w:r>
            <w:r>
              <w:t xml:space="preserve"> </w:t>
            </w:r>
            <w:r>
              <w:t xml:space="preserve">usually starts at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some sources include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Some older texts write</w:t>
            </w:r>
            <w:r>
              <w:t xml:space="preserve"> </w:t>
            </w:r>
            <m:oMath>
              <m:r>
                <m:t>J</m:t>
              </m:r>
            </m:oMath>
            <w:r>
              <w:t xml:space="preserve"> </w:t>
            </w:r>
            <w:r>
              <w:t xml:space="preserve">for the natural numbers.</w:t>
            </w:r>
          </w:p>
          <w:p>
            <w:pPr>
              <w:pStyle w:val="FirstParagraph"/>
            </w:pPr>
            <w:r>
              <w:t xml:space="preserve">When a formula’s meaning depends on whether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is included,</w:t>
            </w:r>
            <w:r>
              <w:t xml:space="preserve"> </w:t>
            </w:r>
            <w:r>
              <w:t xml:space="preserve">we write the set out explicitly,</w:t>
            </w:r>
            <w:r>
              <w:t xml:space="preserve"> </w:t>
            </w:r>
            <w:r>
              <w:t xml:space="preserve">for example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Source: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Wikipedia,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“Natural number”</w:t>
              </w:r>
              <w:r>
                <w:rPr>
                  <w:rStyle w:val="Hyperlink"/>
                </w:rPr>
                <w:t xml:space="preserve">,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“Terminology and notation”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Hyperlink"/>
                </w:rPr>
                <w:t xml:space="preserve">“Zero as natural number”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which cites ISO 80000-2:2019 and the textbooks using each notation.</w:t>
            </w:r>
          </w:p>
          <w:p/>
        </w:tc>
      </w:tr>
    </w:tbl>
    <w:bookmarkEnd w:id="35"/>
    <w:bookmarkStart w:id="46" w:name="sec-notation-reals"/>
    <w:p>
      <w:pPr>
        <w:pStyle w:val="Heading2"/>
      </w:pPr>
      <w:r>
        <w:t xml:space="preserve">3 Rational, real, and irrational numbers</w:t>
      </w:r>
    </w:p>
    <w:bookmarkStart w:id="36" w:name="def-rational-numbers"/>
    <w:p>
      <w:pPr>
        <w:pStyle w:val="FirstParagraph"/>
      </w:pPr>
      <w:r>
        <w:rPr>
          <w:b/>
          <w:bCs/>
        </w:rPr>
        <w:t xml:space="preserve">Definition 5 (Rational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rational number</w:t>
      </w:r>
      <w:r>
        <w:t xml:space="preserve"> </w:t>
      </w:r>
      <w:r>
        <w:t xml:space="preserve">is a number that can be written as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integers (</w:t>
      </w:r>
      <w:hyperlink w:anchor="def-integers">
        <w:r>
          <w:rPr>
            <w:rStyle w:val="Hyperlink"/>
          </w:rPr>
          <w:t xml:space="preserve">Definition 1</w:t>
        </w:r>
      </w:hyperlink>
      <w:r>
        <w:t xml:space="preserve">) 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The set of rational numbers is written</w:t>
      </w:r>
      <w:r>
        <w:t xml:space="preserve"> </w:t>
      </w:r>
      <m:oMath>
        <m:r>
          <m:rPr>
            <m:scr m:val="double-struck"/>
            <m:sty m:val="p"/>
          </m:rP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Q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e>
          </m:d>
          <m:r>
            <m:t>​</m:t>
          </m:r>
        </m:oMath>
      </m:oMathPara>
    </w:p>
    <w:bookmarkEnd w:id="36"/>
    <w:bookmarkStart w:id="37" w:name="exm-rational-numbers"/>
    <w:p>
      <w:pPr>
        <w:pStyle w:val="FirstParagraph"/>
      </w:pPr>
      <w:r>
        <w:rPr>
          <w:b/>
          <w:bCs/>
        </w:rPr>
        <w:t xml:space="preserve">Example 4 (Rational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is rational,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0.75</m:t>
        </m:r>
      </m:oMath>
      <w:r>
        <w:t xml:space="preserve"> </w:t>
      </w:r>
      <w:r>
        <w:t xml:space="preserve">is rational, because</w:t>
      </w:r>
      <w:r>
        <w:t xml:space="preserve"> </w:t>
      </w:r>
      <m:oMath>
        <m:r>
          <m:t>0.75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Every integer is rational: for example,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</m:t>
            </m:r>
          </m:num>
          <m:den>
            <m:r>
              <m:t>1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0.333</m:t>
        </m:r>
        <m:r>
          <m:rPr>
            <m:sty m:val="p"/>
          </m:rPr>
          <m:t>…</m:t>
        </m:r>
      </m:oMath>
      <w:r>
        <w:t xml:space="preserve">, with the</w:t>
      </w:r>
      <w:r>
        <w:t xml:space="preserve"> </w:t>
      </w:r>
      <m:oMath>
        <m:r>
          <m:t>3</m:t>
        </m:r>
      </m:oMath>
      <w:r>
        <w:t xml:space="preserve">s repeating forever, is rational,</w:t>
      </w:r>
      <w:r>
        <w:t xml:space="preserve"> </w:t>
      </w:r>
      <w:r>
        <w:t xml:space="preserve">because</w:t>
      </w:r>
      <w:r>
        <w:t xml:space="preserve"> </w:t>
      </w:r>
      <m:oMath>
        <m:r>
          <m:t>0.333</m:t>
        </m:r>
        <m:r>
          <m:rPr>
            <m:sty m:val="p"/>
          </m:rPr>
          <m:t>…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7"/>
    <w:bookmarkStart w:id="38" w:name="def-real-numbers"/>
    <w:p>
      <w:pPr>
        <w:pStyle w:val="FirstParagraph"/>
      </w:pPr>
      <w:r>
        <w:rPr>
          <w:b/>
          <w:bCs/>
        </w:rPr>
        <w:t xml:space="preserve">Definition 6 (Real numbers)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 number</w:t>
      </w:r>
      <w:r>
        <w:t xml:space="preserve"> </w:t>
      </w:r>
      <w:r>
        <w:t xml:space="preserve">is a number that can be written as a decimal expansion:</w:t>
      </w:r>
      <w:r>
        <w:t xml:space="preserve"> </w:t>
      </w:r>
      <w:r>
        <w:t xml:space="preserve">an integer part, followed by a decimal point</w:t>
      </w:r>
      <w:r>
        <w:t xml:space="preserve"> </w:t>
      </w:r>
      <w:r>
        <w:t xml:space="preserve">and a finite or infinite list of decimal places after it.</w:t>
      </w:r>
      <w:r>
        <w:t xml:space="preserve"> </w:t>
      </w:r>
      <w:r>
        <w:t xml:space="preserve">Equivalently, the real numbers are the points on the number line.</w:t>
      </w:r>
      <w:r>
        <w:t xml:space="preserve"> </w:t>
      </w:r>
      <w:r>
        <w:t xml:space="preserve">The set of real numbers is written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38"/>
    <w:bookmarkStart w:id="39" w:name="rem-real-numbers-working-definition"/>
    <w:p>
      <w:pPr>
        <w:pStyle w:val="BodyText"/>
      </w:pPr>
      <w:r>
        <w:rPr>
          <w:i/>
          <w:iCs/>
        </w:rPr>
        <w:t xml:space="preserve">Remark 1</w:t>
      </w:r>
      <w:r>
        <w:t xml:space="preserve"> (A working definition). 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a working definition, not a construction:</w:t>
      </w:r>
      <w:r>
        <w:t xml:space="preserve"> </w:t>
      </w:r>
      <w:r>
        <w:t xml:space="preserve">it does not say what an infinite decimal expansion is,</w:t>
      </w:r>
      <w:r>
        <w:t xml:space="preserve"> </w:t>
      </w:r>
      <w:r>
        <w:t xml:space="preserve">or how to add or multiply two of them.</w:t>
      </w:r>
      <w:r>
        <w:t xml:space="preserve"> </w:t>
      </w:r>
      <w:r>
        <w:t xml:space="preserve">Rudin (1976, Appendix to Chapter 1)</w:t>
      </w:r>
      <w:r>
        <w:t xml:space="preserve"> </w:t>
      </w:r>
      <w:r>
        <w:t xml:space="preserve">constructs the real numbers rigorously.</w:t>
      </w:r>
      <w:r>
        <w:t xml:space="preserve"> </w:t>
      </w:r>
      <w:r>
        <w:t xml:space="preserve">Some real numbers have two decimal expansions:</w:t>
      </w:r>
      <w:r>
        <w:t xml:space="preserve"> </w:t>
      </w:r>
      <w:r>
        <w:t xml:space="preserve">for example,</w:t>
      </w:r>
      <w:r>
        <w:t xml:space="preserve"> </w:t>
      </w:r>
      <m:oMath>
        <m:r>
          <m:t>0.999</m:t>
        </m:r>
        <m:r>
          <m:rPr>
            <m:sty m:val="p"/>
          </m:rPr>
          <m:t>…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1.000</m:t>
        </m:r>
        <m:r>
          <m:rPr>
            <m:sty m:val="p"/>
          </m:rPr>
          <m:t>…</m:t>
        </m:r>
      </m:oMath>
      <w:r>
        <w:t xml:space="preserve"> </w:t>
      </w:r>
      <w:r>
        <w:t xml:space="preserve">are the same real number,</w:t>
      </w:r>
      <w:r>
        <w:t xml:space="preserve"> </w:t>
      </w:r>
      <m:oMath>
        <m:r>
          <m:t>1</m:t>
        </m:r>
      </m:oMath>
      <w:r>
        <w:t xml:space="preserve">.</w:t>
      </w:r>
    </w:p>
    <w:bookmarkEnd w:id="39"/>
    <w:bookmarkStart w:id="40" w:name="exm-real-numbers"/>
    <w:p>
      <w:pPr>
        <w:pStyle w:val="BodyText"/>
      </w:pPr>
      <w:r>
        <w:rPr>
          <w:b/>
          <w:bCs/>
        </w:rPr>
        <w:t xml:space="preserve">Example 5 (Real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0.5</m:t>
        </m:r>
      </m:oMath>
      <w:r>
        <w:t xml:space="preserve">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0.333</m:t>
        </m:r>
        <m:r>
          <m:rPr>
            <m:sty m:val="p"/>
          </m:rPr>
          <m:t>…</m:t>
        </m:r>
      </m:oMath>
      <w:r>
        <w:t xml:space="preserve"> </w:t>
      </w:r>
      <w:r>
        <w:t xml:space="preserve">are real numbers.</w:t>
      </w:r>
    </w:p>
    <w:p>
      <w:pPr>
        <w:pStyle w:val="Compact"/>
        <w:numPr>
          <w:ilvl w:val="0"/>
          <w:numId w:val="1007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a real number.</w:t>
      </w:r>
    </w:p>
    <w:p>
      <w:pPr>
        <w:pStyle w:val="Compact"/>
        <w:numPr>
          <w:ilvl w:val="0"/>
          <w:numId w:val="1007"/>
        </w:numPr>
      </w:pPr>
      <w:r>
        <w:t xml:space="preserve">Every rational number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 is a real number,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Q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40"/>
    <w:bookmarkStart w:id="41" w:name="def-irrational-numbers"/>
    <w:p>
      <w:pPr>
        <w:pStyle w:val="FirstParagraph"/>
      </w:pPr>
      <w:r>
        <w:rPr>
          <w:b/>
          <w:bCs/>
        </w:rPr>
        <w:t xml:space="preserve">Definition 7 (Irrational numbers)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irrational number</w:t>
      </w:r>
      <w:r>
        <w:t xml:space="preserve"> </w:t>
      </w:r>
      <w:r>
        <w:t xml:space="preserve">is a real number (</w:t>
      </w:r>
      <w:hyperlink w:anchor="def-real-numbers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that is not rational (</w:t>
      </w:r>
      <w:hyperlink w:anchor="def-rational-number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1"/>
    <w:bookmarkStart w:id="45" w:name="exm-irrational-numbers"/>
    <w:p>
      <w:pPr>
        <w:pStyle w:val="BodyText"/>
      </w:pPr>
      <w:r>
        <w:rPr>
          <w:b/>
          <w:bCs/>
        </w:rPr>
        <w:t xml:space="preserve">Example 6 (Irrational numbers)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=</m:t>
        </m:r>
        <m:r>
          <m:t>1.41421</m:t>
        </m:r>
        <m:r>
          <m:rPr>
            <m:sty m:val="p"/>
          </m:rPr>
          <m:t>…</m:t>
        </m:r>
      </m:oMath>
      <w:r>
        <w:t xml:space="preserve">, the</w:t>
      </w:r>
      <w:r>
        <w:t xml:space="preserve"> </w:t>
      </w:r>
      <w:hyperlink r:id="rId42">
        <w:r>
          <w:rPr>
            <w:rStyle w:val="Hyperlink"/>
          </w:rPr>
          <w:t xml:space="preserve">square root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2</m:t>
        </m:r>
      </m:oMath>
      <w:r>
        <w:t xml:space="preserve">, is irrational:</w:t>
      </w:r>
      <w:r>
        <w:t xml:space="preserve"> </w:t>
      </w:r>
      <w:r>
        <w:t xml:space="preserve">no fraction of integers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squares 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(see</w:t>
      </w:r>
      <w:r>
        <w:t xml:space="preserve"> </w:t>
      </w:r>
      <w:hyperlink r:id="rId43">
        <w:r>
          <w:rPr>
            <w:rStyle w:val="Hyperlink"/>
          </w:rPr>
          <w:t xml:space="preserve">Wikipedia: Square root of 2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π</m:t>
        </m:r>
        <m:r>
          <m:rPr>
            <m:sty m:val="p"/>
          </m:rPr>
          <m:t>=</m:t>
        </m:r>
        <m:r>
          <m:t>3.14159</m:t>
        </m:r>
        <m:r>
          <m:rPr>
            <m:sty m:val="p"/>
          </m:rPr>
          <m:t>…</m:t>
        </m:r>
      </m:oMath>
      <w:r>
        <w:t xml:space="preserve"> </w:t>
      </w:r>
      <w:r>
        <w:t xml:space="preserve">is irrational</w:t>
      </w:r>
      <w:r>
        <w:t xml:space="preserve"> </w:t>
      </w:r>
      <w:r>
        <w:t xml:space="preserve">(see</w:t>
      </w:r>
      <w:r>
        <w:t xml:space="preserve"> </w:t>
      </w:r>
      <w:hyperlink r:id="rId44">
        <w:r>
          <w:rPr>
            <w:rStyle w:val="Hyperlink"/>
          </w:rPr>
          <w:t xml:space="preserve">Wikipedia: Proof that</w:t>
        </w:r>
        <w:r>
          <w:rPr>
            <w:rStyle w:val="Hyperlink"/>
          </w:rPr>
          <w:t xml:space="preserve"> </w:t>
        </w:r>
        <m:oMath>
          <m:r>
            <m:t>π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is irrational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1.5</m:t>
        </m:r>
      </m:oMath>
      <w:r>
        <w:t xml:space="preserve"> </w:t>
      </w:r>
      <w:r>
        <w:t xml:space="preserve">is not irrational, because</w:t>
      </w:r>
      <w:r>
        <w:t xml:space="preserve"> </w:t>
      </w:r>
      <m:oMath>
        <m:r>
          <m:t>1.5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rational.</w:t>
      </w:r>
    </w:p>
    <w:bookmarkEnd w:id="45"/>
    <w:bookmarkEnd w:id="46"/>
    <w:bookmarkStart w:id="50" w:name="percent-sign"/>
    <w:p>
      <w:pPr>
        <w:pStyle w:val="Heading2"/>
      </w:pPr>
      <w:r>
        <w:t xml:space="preserve">4 Percent sign (</w:t>
      </w:r>
      <w:r>
        <w:t xml:space="preserve">“%”</w:t>
      </w:r>
      <w:r>
        <w:t xml:space="preserve">)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7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8" w:name="def-percent"/>
    <w:p>
      <w:pPr>
        <w:pStyle w:val="BodyText"/>
      </w:pPr>
      <w:r>
        <w:rPr>
          <w:b/>
          <w:bCs/>
        </w:rPr>
        <w:t xml:space="preserve">Definition 8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8"/>
    <w:bookmarkStart w:id="49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9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50"/>
    <w:bookmarkStart w:id="81" w:name="proofs"/>
    <w:p>
      <w:pPr>
        <w:pStyle w:val="Heading2"/>
      </w:pPr>
      <w:r>
        <w:t xml:space="preserve">5 Proofs</w:t>
      </w:r>
    </w:p>
    <w:bookmarkStart w:id="51" w:name="def-proposition"/>
    <w:p>
      <w:pPr>
        <w:pStyle w:val="FirstParagraph"/>
      </w:pPr>
      <w:r>
        <w:rPr>
          <w:b/>
          <w:bCs/>
        </w:rPr>
        <w:t xml:space="preserve">Definition 9 (Proposition)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sentence that is either true or false.</w:t>
      </w:r>
    </w:p>
    <w:bookmarkEnd w:id="51"/>
    <w:bookmarkStart w:id="52" w:name="exm-proposition"/>
    <w:p>
      <w:pPr>
        <w:pStyle w:val="BodyText"/>
      </w:pPr>
      <w:r>
        <w:rPr>
          <w:b/>
          <w:bCs/>
        </w:rPr>
        <w:t xml:space="preserve">Example 8 (Propositions, and a sentence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 </w:t>
      </w:r>
      <w:r>
        <w:t xml:space="preserve">is a proposition, and it is true.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 </w:t>
      </w:r>
      <w:r>
        <w:t xml:space="preserve">is a proposition, and it is false.</w:t>
      </w:r>
    </w:p>
    <w:p>
      <w:pPr>
        <w:pStyle w:val="Compact"/>
        <w:numPr>
          <w:ilvl w:val="0"/>
          <w:numId w:val="1009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 proposition on its own: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has no truth value until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given a value.</w:t>
      </w:r>
    </w:p>
    <w:bookmarkEnd w:id="52"/>
    <w:bookmarkStart w:id="53" w:name="def-predicate"/>
    <w:p>
      <w:pPr>
        <w:pStyle w:val="FirstParagraph"/>
      </w:pPr>
      <w:r>
        <w:rPr>
          <w:b/>
          <w:bCs/>
        </w:rPr>
        <w:t xml:space="preserve">Definition 10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53"/>
    <w:bookmarkStart w:id="54" w:name="exm-predicate"/>
    <w:p>
      <w:pPr>
        <w:pStyle w:val="BodyText"/>
      </w:pPr>
      <w:r>
        <w:rPr>
          <w:b/>
          <w:bCs/>
        </w:rPr>
        <w:t xml:space="preserve">Example 9 (A predicate)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 real numbers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true.</w:t>
      </w:r>
    </w:p>
    <w:p>
      <w:pPr>
        <w:pStyle w:val="Compact"/>
        <w:numPr>
          <w:ilvl w:val="0"/>
          <w:numId w:val="1010"/>
        </w:numPr>
      </w:pP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proposition</w:t>
      </w:r>
      <w:r>
        <w:t xml:space="preserve"> </w:t>
      </w:r>
      <w:r>
        <w:t xml:space="preserve">“</w:t>
      </w:r>
      <m:oMath>
        <m:r>
          <m:t>1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which is false.</w:t>
      </w:r>
    </w:p>
    <w:bookmarkEnd w:id="54"/>
    <w:bookmarkStart w:id="55" w:name="def-logical-connective"/>
    <w:p>
      <w:pPr>
        <w:pStyle w:val="FirstParagraph"/>
      </w:pPr>
      <w:r>
        <w:rPr>
          <w:b/>
          <w:bCs/>
        </w:rPr>
        <w:t xml:space="preserve">Definition 11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not</w:t>
      </w:r>
      <w:r>
        <w:t xml:space="preserve">: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and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or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implies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if and only if</w:t>
      </w:r>
      <w:r>
        <w:t xml:space="preserve">: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55"/>
    <w:bookmarkStart w:id="56" w:name="exm-logical-connective"/>
    <w:p>
      <w:pPr>
        <w:pStyle w:val="FirstParagraph"/>
      </w:pPr>
      <w:r>
        <w:rPr>
          <w:b/>
          <w:bCs/>
        </w:rPr>
        <w:t xml:space="preserve">Example 10 (Truth values of connectives)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”</w:t>
      </w:r>
      <w:r>
        <w:t xml:space="preserve">, which is true,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</w:t>
      </w:r>
      <w:r>
        <w:t xml:space="preserve"> </w:t>
      </w:r>
      <w:hyperlink w:anchor="def-even-odd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 which is false.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not even”</w:t>
      </w:r>
      <w:r>
        <w:t xml:space="preserve">, 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2"/>
        </w:numPr>
      </w:pP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different truth values.</w:t>
      </w:r>
    </w:p>
    <w:bookmarkEnd w:id="56"/>
    <w:bookmarkStart w:id="57" w:name="def-quantifier"/>
    <w:p>
      <w:pPr>
        <w:pStyle w:val="FirstParagraph"/>
      </w:pPr>
      <w:r>
        <w:rPr>
          <w:b/>
          <w:bCs/>
        </w:rPr>
        <w:t xml:space="preserve">Definition 12 (Quantifier)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quantifier</w:t>
      </w:r>
      <w:r>
        <w:t xml:space="preserve"> </w:t>
      </w:r>
      <w:r>
        <w:t xml:space="preserve">turns a predicate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about the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):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universal quantifier</w:t>
      </w:r>
      <w:r>
        <w:t xml:space="preserve"> </w:t>
      </w:r>
      <w:r>
        <w:t xml:space="preserve">“for all”</w:t>
      </w:r>
      <w:r>
        <w:t xml:space="preserve">:</w:t>
      </w:r>
      <w:r>
        <w:t xml:space="preserve"> 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every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otherwise;</w:t>
      </w:r>
    </w:p>
    <w:p>
      <w:pPr>
        <w:pStyle w:val="Compact"/>
        <w:numPr>
          <w:ilvl w:val="0"/>
          <w:numId w:val="101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existential quantifier</w:t>
      </w:r>
      <w:r>
        <w:t xml:space="preserve"> </w:t>
      </w:r>
      <w:r>
        <w:t xml:space="preserve">“there exists”</w:t>
      </w:r>
      <w:r>
        <w:t xml:space="preserve">:</w:t>
      </w:r>
      <w:r>
        <w:t xml:space="preserve"> 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S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t xml:space="preserve">“there is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is true when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 for at least one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false otherwise.</w:t>
      </w:r>
    </w:p>
    <w:bookmarkEnd w:id="57"/>
    <w:bookmarkStart w:id="58" w:name="exm-quantifier"/>
    <w:p>
      <w:pPr>
        <w:pStyle w:val="FirstParagraph"/>
      </w:pPr>
      <w:r>
        <w:rPr>
          <w:b/>
          <w:bCs/>
        </w:rPr>
        <w:t xml:space="preserve">Example 11 (Quantified propositions)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predicate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”</w:t>
      </w:r>
      <w:r>
        <w:t xml:space="preserve">, for</w:t>
      </w:r>
      <w:r>
        <w:t xml:space="preserve"> </w:t>
      </w:r>
      <w:hyperlink w:anchor="def-integers">
        <w:r>
          <w:rPr>
            <w:rStyle w:val="Hyperlink"/>
          </w:rPr>
          <w:t xml:space="preserve">integers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∃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false, because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14"/>
        </w:numPr>
      </w:pPr>
      <w:r>
        <w:t xml:space="preserve">“</w:t>
      </w:r>
      <m:oMath>
        <m:r>
          <m:rPr>
            <m:sty m:val="p"/>
          </m:rPr>
          <m:t>∀</m:t>
        </m:r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w:r>
        <w:t xml:space="preserve">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,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, and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are all true.</w:t>
      </w:r>
    </w:p>
    <w:bookmarkEnd w:id="58"/>
    <w:bookmarkStart w:id="59" w:name="def-inequality"/>
    <w:p>
      <w:pPr>
        <w:pStyle w:val="FirstParagraph"/>
      </w:pPr>
      <w:r>
        <w:rPr>
          <w:b/>
          <w:bCs/>
        </w:rPr>
        <w:t xml:space="preserve">Definition 13 (Inequality)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inequality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or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that compares two expressions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whose values are</w:t>
      </w:r>
      <w:r>
        <w:t xml:space="preserve"> </w:t>
      </w:r>
      <w:hyperlink w:anchor="def-real-numbers">
        <w:r>
          <w:rPr>
            <w:rStyle w:val="Hyperlink"/>
          </w:rPr>
          <w:t xml:space="preserve">real numbers</w:t>
        </w:r>
      </w:hyperlink>
      <w:r>
        <w:t xml:space="preserve">,</w:t>
      </w:r>
      <w:r>
        <w:t xml:space="preserve"> </w:t>
      </w:r>
      <w:r>
        <w:t xml:space="preserve">in one of the forms: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 or equal to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).</w:t>
      </w:r>
    </w:p>
    <w:bookmarkEnd w:id="59"/>
    <w:bookmarkStart w:id="60" w:name="exm-inequality"/>
    <w:p>
      <w:pPr>
        <w:pStyle w:val="FirstParagraph"/>
      </w:pPr>
      <w:r>
        <w:rPr>
          <w:b/>
          <w:bCs/>
        </w:rPr>
        <w:t xml:space="preserve">Example 12 (Inequalities)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3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is an inequality, and it is true.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5</m:t>
        </m:r>
        <m:r>
          <m:rPr>
            <m:sty m:val="p"/>
          </m:rPr>
          <m:t>≤</m:t>
        </m:r>
        <m:r>
          <m:t>3</m:t>
        </m:r>
      </m:oMath>
      <w:r>
        <w:t xml:space="preserve">”</w:t>
      </w:r>
      <w:r>
        <w:t xml:space="preserve"> </w:t>
      </w:r>
      <w:r>
        <w:t xml:space="preserve">is an inequality, and it is false.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≥</m:t>
        </m:r>
        <m:r>
          <m:t>2</m:t>
        </m:r>
      </m:oMath>
      <w:r>
        <w:t xml:space="preserve">”</w:t>
      </w:r>
      <w:r>
        <w:t xml:space="preserve"> </w:t>
      </w:r>
      <w:r>
        <w:t xml:space="preserve">is an inequality and a predicate: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is not an inequality: it is an equality.</w:t>
      </w:r>
    </w:p>
    <w:bookmarkEnd w:id="60"/>
    <w:bookmarkStart w:id="61" w:name="def-logical-entailment"/>
    <w:p>
      <w:pPr>
        <w:pStyle w:val="FirstParagraph"/>
      </w:pPr>
      <w:r>
        <w:rPr>
          <w:b/>
          <w:bCs/>
        </w:rPr>
        <w:t xml:space="preserve">Definition 14 (Logical entailment)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61"/>
    <w:bookmarkStart w:id="62" w:name="exm-logical-entailment"/>
    <w:p>
      <w:pPr>
        <w:pStyle w:val="BodyText"/>
      </w:pPr>
      <w:r>
        <w:rPr>
          <w:b/>
          <w:bCs/>
        </w:rPr>
        <w:t xml:space="preserve">Example 13 (Entailment, and its failure)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</w:t>
      </w:r>
      <w:r>
        <w:t xml:space="preserve"> </w:t>
      </w:r>
      <w:hyperlink w:anchor="def-integers">
        <w:r>
          <w:rPr>
            <w:rStyle w:val="Hyperlink"/>
          </w:rPr>
          <w:t xml:space="preserve">integer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entails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only value that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true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r>
          <m:t>x</m:t>
        </m:r>
        <m:r>
          <m:rPr>
            <m:sty m:val="p"/>
          </m:rPr>
          <m:t>&gt;</m:t>
        </m:r>
        <m:r>
          <m:t>3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&lt;</m:t>
        </m:r>
        <m:r>
          <m:t>5</m:t>
        </m:r>
      </m:oMath>
      <w:r>
        <w:t xml:space="preserve">”</w:t>
      </w:r>
      <w:r>
        <w:t xml:space="preserve"> </w:t>
      </w:r>
      <w:r>
        <w:t xml:space="preserve">together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: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only integer greater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 less than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does not entail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: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makes</w:t>
      </w:r>
      <w:r>
        <w:t xml:space="preserve"> </w:t>
      </w:r>
      <w:r>
        <w:t xml:space="preserve">“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”</w:t>
      </w:r>
      <w:r>
        <w:t xml:space="preserve"> </w:t>
      </w:r>
      <w:r>
        <w:t xml:space="preserve">true,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but makes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”</w:t>
      </w:r>
      <w:r>
        <w:t xml:space="preserve"> </w:t>
      </w:r>
      <w:r>
        <w:t xml:space="preserve">false.</w:t>
      </w:r>
    </w:p>
    <w:bookmarkEnd w:id="62"/>
    <w:p>
      <w:pPr>
        <w:pStyle w:val="FirstParagraph"/>
      </w:pPr>
      <w:r>
        <w:t xml:space="preserve">We can use any of: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∴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\therefore</w:t>
      </w:r>
      <w:r>
        <w:t xml:space="preserve"> </w:t>
      </w:r>
      <w:r>
        <w:t xml:space="preserve">in LaTeX),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),</w:t>
      </w:r>
    </w:p>
    <w:p>
      <w:pPr>
        <w:pStyle w:val="Compact"/>
        <w:numPr>
          <w:ilvl w:val="0"/>
          <w:numId w:val="1018"/>
        </w:numPr>
      </w:pPr>
      <m:oMath>
        <m:r>
          <m:rPr>
            <m:sty m:val="p"/>
          </m:rPr>
          <m:t>⊨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\models</w:t>
      </w:r>
      <w:r>
        <w:t xml:space="preserve">)</w:t>
      </w:r>
    </w:p>
    <w:p>
      <w:pPr>
        <w:pStyle w:val="FirstParagraph"/>
      </w:pPr>
      <w:r>
        <w:t xml:space="preserve">to denote logical entailment (</w:t>
      </w:r>
      <w:hyperlink w:anchor="def-logical-entailment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also writes the connective</w:t>
      </w:r>
      <w:r>
        <w:t xml:space="preserve"> </w:t>
      </w:r>
      <w:r>
        <w:t xml:space="preserve">“implies”</w:t>
      </w:r>
      <w:r>
        <w:t xml:space="preserve"> </w:t>
      </w:r>
      <w:r>
        <w:t xml:space="preserve">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entails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for every choice of values for the variables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BodyText"/>
      </w:pPr>
      <w:r>
        <w:t xml:space="preserve">Let’s save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(</w:t>
      </w:r>
      <w:r>
        <w:rPr>
          <w:rStyle w:val="VerbatimChar"/>
        </w:rPr>
        <w:t xml:space="preserve">\rightarrow</w:t>
      </w:r>
      <w:r>
        <w:t xml:space="preserve">) for</w:t>
      </w:r>
      <w:r>
        <w:t xml:space="preserve"> </w:t>
      </w:r>
      <w:hyperlink r:id="rId63">
        <w:r>
          <w:rPr>
            <w:rStyle w:val="Hyperlink"/>
          </w:rPr>
          <w:t xml:space="preserve">convergence</w:t>
        </w:r>
      </w:hyperlink>
      <w:r>
        <w:t xml:space="preserve"> </w:t>
      </w:r>
      <w:r>
        <w:t xml:space="preserve">results.</w:t>
      </w:r>
    </w:p>
    <w:bookmarkStart w:id="64" w:name="def-proof"/>
    <w:p>
      <w:pPr>
        <w:pStyle w:val="BodyText"/>
      </w:pPr>
      <w:r>
        <w:rPr>
          <w:b/>
          <w:bCs/>
        </w:rPr>
        <w:t xml:space="preserve">Definition 15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of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9"/>
        </w:numPr>
      </w:pPr>
      <w:r>
        <w:t xml:space="preserve">an assumption,</w:t>
      </w:r>
    </w:p>
    <w:p>
      <w:pPr>
        <w:pStyle w:val="Compact"/>
        <w:numPr>
          <w:ilvl w:val="0"/>
          <w:numId w:val="1019"/>
        </w:numPr>
      </w:pPr>
      <w:r>
        <w:t xml:space="preserve">a definition,</w:t>
      </w:r>
    </w:p>
    <w:p>
      <w:pPr>
        <w:pStyle w:val="Compact"/>
        <w:numPr>
          <w:ilvl w:val="0"/>
          <w:numId w:val="1019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9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64"/>
    <w:bookmarkStart w:id="66" w:name="exm-proof"/>
    <w:p>
      <w:pPr>
        <w:pStyle w:val="FirstParagraph"/>
      </w:pPr>
      <w:r>
        <w:rPr>
          <w:b/>
          <w:bCs/>
        </w:rPr>
        <w:t xml:space="preserve">Example 14 (The sum of two even integers is even)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even integers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j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</m:eqArr>
        </m:oMath>
      </m:oMathPara>
    </w:p>
    <w:p>
      <w:pPr>
        <w:pStyle w:val="FirstParagraph"/>
      </w:pPr>
      <w:r>
        <w:t xml:space="preserve">The second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j</m:t>
        </m:r>
        <m:r>
          <m:rPr>
            <m:sty m:val="p"/>
          </m:rPr>
          <m:t>+</m:t>
        </m:r>
        <m:r>
          <m:t>k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4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</w:p>
    <w:bookmarkEnd w:id="66"/>
    <w:bookmarkStart w:id="67" w:name="def-derivation"/>
    <w:p>
      <w:pPr>
        <w:pStyle w:val="BodyText"/>
      </w:pPr>
      <w:r>
        <w:rPr>
          <w:b/>
          <w:bCs/>
        </w:rPr>
        <w:t xml:space="preserve">Definition 16 (Derivation)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derivation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), or a part of one,</w:t>
      </w:r>
      <w:r>
        <w:t xml:space="preserve"> </w:t>
      </w:r>
      <w:r>
        <w:t xml:space="preserve">written as a chain of expressions, one per line,</w:t>
      </w:r>
      <w:r>
        <w:t xml:space="preserve"> </w:t>
      </w:r>
      <w:r>
        <w:t xml:space="preserve">in which each line is joined to the line before it</w:t>
      </w:r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 by an inequality sign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 carries an annotation that names the reason that step holds:</w:t>
      </w:r>
      <w:r>
        <w:t xml:space="preserve"> </w:t>
      </w:r>
      <w:r>
        <w:t xml:space="preserve">an assumption, a definition, a previously proved result, or a rule of algebra.</w:t>
      </w:r>
      <w:r>
        <w:t xml:space="preserve"> </w:t>
      </w:r>
      <w:r>
        <w:t xml:space="preserve">The chain shows how its first expression compares with its last: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 the first expression equals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the first is less than or equal to the last;</w:t>
      </w:r>
    </w:p>
    <w:p>
      <w:pPr>
        <w:pStyle w:val="Compact"/>
        <w:numPr>
          <w:ilvl w:val="0"/>
          <w:numId w:val="1020"/>
        </w:numPr>
      </w:pPr>
      <w:r>
        <w:t xml:space="preserve">if every step is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 and at least one step is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,</w:t>
      </w:r>
      <w:r>
        <w:t xml:space="preserve"> </w:t>
      </w:r>
      <w:r>
        <w:t xml:space="preserve">the first is less than the last.</w:t>
      </w:r>
    </w:p>
    <w:p>
      <w:pPr>
        <w:pStyle w:val="FirstParagraph"/>
      </w:pPr>
      <w:r>
        <w:t xml:space="preserve">The same holds with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End w:id="67"/>
    <w:bookmarkStart w:id="69" w:name="exm-derivation"/>
    <w:p>
      <w:pPr>
        <w:pStyle w:val="BodyText"/>
      </w:pPr>
      <w:r>
        <w:rPr>
          <w:b/>
          <w:bCs/>
        </w:rPr>
        <w:t xml:space="preserve">Example 15 (A derivation with equalities and inequalities)</w:t>
      </w:r>
      <w:r>
        <w:t xml:space="preserve"> </w:t>
      </w:r>
      <w:r>
        <w:t xml:space="preserve">For every real number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uses the</w:t>
      </w:r>
      <w:r>
        <w:t xml:space="preserve"> </w:t>
      </w:r>
      <w:hyperlink r:id="rId68">
        <w:r>
          <w:rPr>
            <w:rStyle w:val="Hyperlink"/>
          </w:rPr>
          <w:t xml:space="preserve">square of a sum</w:t>
        </w:r>
      </w:hyperlink>
      <w:r>
        <w:t xml:space="preserve">.</w:t>
      </w:r>
      <w:r>
        <w:t xml:space="preserve"> </w:t>
      </w:r>
      <w:r>
        <w:t xml:space="preserve">The steps 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≥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&gt;</m:t>
        </m:r>
      </m:oMath>
      <w:r>
        <w:t xml:space="preserve">,</w:t>
      </w:r>
      <w:r>
        <w:t xml:space="preserve"> </w:t>
      </w:r>
      <w:r>
        <w:t xml:space="preserve">so the derivation shows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16</m:t>
        </m:r>
      </m:oMath>
      <w:r>
        <w:t xml:space="preserve">, and</w:t>
      </w:r>
      <w:r>
        <w:t xml:space="preserve"> </w:t>
      </w:r>
      <m:oMath>
        <m:r>
          <m:t>16</m:t>
        </m:r>
        <m:r>
          <m:rPr>
            <m:sty m:val="p"/>
          </m:rPr>
          <m:t>&gt;</m:t>
        </m:r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bookmarkEnd w:id="69"/>
    <w:bookmarkStart w:id="70" w:name="def-theorem"/>
    <w:p>
      <w:pPr>
        <w:pStyle w:val="BodyText"/>
      </w:pPr>
      <w:r>
        <w:rPr>
          <w:b/>
          <w:bCs/>
        </w:rPr>
        <w:t xml:space="preserve">Definition 17 (Result, theorem, lemma, and corollary)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result</w:t>
      </w:r>
      <w:r>
        <w:t xml:space="preserve"> </w:t>
      </w:r>
      <w:r>
        <w:t xml:space="preserve">is a proposition 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that has a proof (</w:t>
      </w:r>
      <w:hyperlink w:anchor="def-proof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These notes label each result by its role: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theorem</w:t>
      </w:r>
      <w:r>
        <w:t xml:space="preserve"> </w:t>
      </w:r>
      <w:r>
        <w:t xml:space="preserve">is a result of interest in its own right;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lemma</w:t>
      </w:r>
      <w:r>
        <w:t xml:space="preserve"> </w:t>
      </w:r>
      <w:r>
        <w:t xml:space="preserve">is a result proved mainly as a step in the proof of another result;</w:t>
      </w:r>
    </w:p>
    <w:p>
      <w:pPr>
        <w:pStyle w:val="Compact"/>
        <w:numPr>
          <w:ilvl w:val="0"/>
          <w:numId w:val="102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corollary</w:t>
      </w:r>
      <w:r>
        <w:t xml:space="preserve"> </w:t>
      </w:r>
      <w:r>
        <w:t xml:space="preserve">is a result that follows from a theorem</w:t>
      </w:r>
      <w:r>
        <w:t xml:space="preserve"> </w:t>
      </w:r>
      <w:r>
        <w:t xml:space="preserve">with little extra work.</w:t>
      </w:r>
    </w:p>
    <w:bookmarkEnd w:id="70"/>
    <w:bookmarkStart w:id="71" w:name="rem-proposition-as-result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w:r>
        <w:t xml:space="preserve">“Proposition”</w:t>
      </w:r>
      <w:r>
        <w:t xml:space="preserve"> </w:t>
      </w:r>
      <w:r>
        <w:t xml:space="preserve">as a kind of result). </w:t>
      </w:r>
      <w:r>
        <w:t xml:space="preserve">Some sources also call a result of moderate importance a</w:t>
      </w:r>
      <w:r>
        <w:t xml:space="preserve"> </w:t>
      </w:r>
      <w:r>
        <w:t xml:space="preserve">“proposition”</w:t>
      </w:r>
      <w:r>
        <w:t xml:space="preserve">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“proposition”</w:t>
      </w:r>
      <w:r>
        <w:t xml:space="preserve"> </w:t>
      </w:r>
      <w:r>
        <w:t xml:space="preserve">always means a sentence that is true or false</w:t>
      </w:r>
      <w:r>
        <w:t xml:space="preserve"> </w:t>
      </w:r>
      <w:r>
        <w:t xml:space="preserve">(</w:t>
      </w:r>
      <w:hyperlink w:anchor="def-proposition">
        <w:r>
          <w:rPr>
            <w:rStyle w:val="Hyperlink"/>
          </w:rPr>
          <w:t xml:space="preserve">Definition 9</w:t>
        </w:r>
      </w:hyperlink>
      <w:r>
        <w:t xml:space="preserve">), whether or not it has been proved.</w:t>
      </w:r>
    </w:p>
    <w:bookmarkEnd w:id="71"/>
    <w:bookmarkStart w:id="72" w:name="exm-theorem"/>
    <w:p>
      <w:pPr>
        <w:pStyle w:val="BodyText"/>
      </w:pPr>
      <w:r>
        <w:rPr>
          <w:b/>
          <w:bCs/>
        </w:rPr>
        <w:t xml:space="preserve">Example 16 (A corollary of a result)</w:t>
      </w:r>
      <w:r>
        <w:t xml:space="preserve"> </w:t>
      </w:r>
      <w:hyperlink w:anchor="exm-proof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proves the result</w:t>
      </w:r>
      <w:r>
        <w:t xml:space="preserve"> </w:t>
      </w:r>
      <w:r>
        <w:t xml:space="preserve">“the sum of two even integers is even”</w:t>
      </w:r>
      <w:r>
        <w:t xml:space="preserve">.</w:t>
      </w:r>
      <w:r>
        <w:t xml:space="preserve"> </w:t>
      </w:r>
      <w:r>
        <w:t xml:space="preserve">A corollary follows with little extra work:</w:t>
      </w:r>
      <w:r>
        <w:t xml:space="preserve"> </w:t>
      </w:r>
      <w:r>
        <w:t xml:space="preserve">the sum of three even integers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even by that result,</w:t>
      </w:r>
      <w:r>
        <w:t xml:space="preserve"> </w:t>
      </w:r>
      <w:r>
        <w:t xml:space="preserve">and applying the result again to the even integers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shows that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12</m:t>
        </m:r>
      </m:oMath>
      <w:r>
        <w:t xml:space="preserve">, which is even.</w:t>
      </w:r>
    </w:p>
    <w:bookmarkEnd w:id="72"/>
    <w:bookmarkStart w:id="73" w:name="def-counterexample"/>
    <w:p>
      <w:pPr>
        <w:pStyle w:val="BodyText"/>
      </w:pPr>
      <w:r>
        <w:rPr>
          <w:b/>
          <w:bCs/>
        </w:rPr>
        <w:t xml:space="preserve">Definition 18 (Counterexample)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counterexample</w:t>
      </w:r>
      <w:r>
        <w:t xml:space="preserve"> </w:t>
      </w:r>
      <w:r>
        <w:t xml:space="preserve">to a proposition of the form</w:t>
      </w:r>
      <w:r>
        <w:t xml:space="preserve"> </w:t>
      </w:r>
      <w:r>
        <w:t xml:space="preserve">“for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predicate 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is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A single counterexample shows that the proposition is false.</w:t>
      </w:r>
    </w:p>
    <w:bookmarkEnd w:id="73"/>
    <w:bookmarkStart w:id="74" w:name="exm-counterexample"/>
    <w:p>
      <w:pPr>
        <w:pStyle w:val="BodyText"/>
      </w:pPr>
      <w:r>
        <w:rPr>
          <w:b/>
          <w:bCs/>
        </w:rPr>
        <w:t xml:space="preserve">Example 17 (A counterexample)</w:t>
      </w:r>
      <w:r>
        <w:t xml:space="preserve"> </w:t>
      </w:r>
      <w:r>
        <w:t xml:space="preserve">The proposition</w:t>
      </w:r>
      <w:r>
        <w:t xml:space="preserve"> </w:t>
      </w:r>
      <w:r>
        <w:t xml:space="preserve">“for every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&gt;</m:t>
        </m:r>
        <m:r>
          <m:t>n</m:t>
        </m:r>
      </m:oMath>
      <w:r>
        <w:t xml:space="preserve">”</w:t>
      </w:r>
      <w:r>
        <w:t xml:space="preserve"> </w:t>
      </w:r>
      <w:r>
        <w:t xml:space="preserve">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counterexample: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0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The proposition is true for some integers, such 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&gt;</m:t>
        </m:r>
        <m:r>
          <m:t>3</m:t>
        </m:r>
      </m:oMath>
      <w:r>
        <w:t xml:space="preserve">,</w:t>
      </w:r>
      <w:r>
        <w:t xml:space="preserve"> </w:t>
      </w:r>
      <w:r>
        <w:t xml:space="preserve">but one counterexample is enough to make it false.</w:t>
      </w:r>
    </w:p>
    <w:bookmarkEnd w:id="74"/>
    <w:bookmarkStart w:id="75" w:name="def-converse"/>
    <w:p>
      <w:pPr>
        <w:pStyle w:val="BodyText"/>
      </w:pPr>
      <w:r>
        <w:rPr>
          <w:b/>
          <w:bCs/>
        </w:rPr>
        <w:t xml:space="preserve">Definition 19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75"/>
    <w:bookmarkStart w:id="76" w:name="exm-converse"/>
    <w:p>
      <w:pPr>
        <w:pStyle w:val="BodyText"/>
      </w:pPr>
      <w:r>
        <w:rPr>
          <w:b/>
          <w:bCs/>
        </w:rPr>
        <w:t xml:space="preserve">Example 18 (A true proposition with a false converse)</w:t>
      </w:r>
      <w:r>
        <w:t xml:space="preserve"> </w:t>
      </w:r>
      <w:r>
        <w:t xml:space="preserve">For an integer</w:t>
      </w:r>
      <w:r>
        <w:t xml:space="preserve"> </w:t>
      </w:r>
      <m:oMath>
        <m:r>
          <m:t>n</m:t>
        </m:r>
      </m:oMath>
      <w:r>
        <w:t xml:space="preserve">, call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  <m:r>
          <m:t>k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t>k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22"/>
        </w:numPr>
      </w:pPr>
      <w:r>
        <w:t xml:space="preserve">Its converse,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”</w:t>
      </w:r>
      <w:r>
        <w:t xml:space="preserve">, is false.</w:t>
      </w:r>
      <w:r>
        <w:t xml:space="preserve"> </w:t>
      </w:r>
      <w:r>
        <w:t xml:space="preserve">The integer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counterexample (</w:t>
      </w:r>
      <w:hyperlink w:anchor="def-counterexample">
        <w:r>
          <w:rPr>
            <w:rStyle w:val="Hyperlink"/>
          </w:rPr>
          <w:t xml:space="preserve">Definition 18</w:t>
        </w:r>
      </w:hyperlink>
      <w:r>
        <w:t xml:space="preserve">):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even, but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4</m:t>
        </m:r>
        <m:r>
          <m:t>k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which is not an integer.</w:t>
      </w:r>
    </w:p>
    <w:p>
      <w:pPr>
        <w:pStyle w:val="FirstParagraph"/>
      </w:pPr>
      <w:r>
        <w:t xml:space="preserve">So a proposition can be true while its converse is false.</w:t>
      </w:r>
    </w:p>
    <w:bookmarkEnd w:id="76"/>
    <w:bookmarkStart w:id="77" w:name="def-necessary-sufficient"/>
    <w:p>
      <w:pPr>
        <w:pStyle w:val="BodyText"/>
      </w:pPr>
      <w:r>
        <w:rPr>
          <w:b/>
          <w:bCs/>
        </w:rPr>
        <w:t xml:space="preserve">Definition 20 (Necessary and sufficient conditions)</w:t>
      </w:r>
      <w:r>
        <w:t xml:space="preserve"> </w:t>
      </w:r>
      <w:r>
        <w:t xml:space="preserve">When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condition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When both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 its converse (</w:t>
      </w:r>
      <w:hyperlink w:anchor="def-converse">
        <w:r>
          <w:rPr>
            <w:rStyle w:val="Hyperlink"/>
          </w:rPr>
          <w:t xml:space="preserve">Definition 19</w:t>
        </w:r>
      </w:hyperlink>
      <w:r>
        <w:t xml:space="preserve">) are true,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necessary and sufficient condition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77"/>
    <w:bookmarkStart w:id="78" w:name="exm-necessary-sufficient"/>
    <w:p>
      <w:pPr>
        <w:pStyle w:val="BodyText"/>
      </w:pPr>
      <w:r>
        <w:rPr>
          <w:b/>
          <w:bCs/>
        </w:rPr>
        <w:t xml:space="preserve">Example 19 (Necessary but not sufficient)</w:t>
      </w:r>
      <w:r>
        <w:t xml:space="preserve"> </w:t>
      </w:r>
      <w:r>
        <w:t xml:space="preserve">In</w:t>
      </w:r>
      <w:r>
        <w:t xml:space="preserve"> </w:t>
      </w:r>
      <w:hyperlink w:anchor="exm-converse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4</m:t>
        </m:r>
      </m:oMath>
      <w:r>
        <w:t xml:space="preserve">, then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true, so:</w:t>
      </w:r>
    </w:p>
    <w:p>
      <w:pPr>
        <w:pStyle w:val="Compact"/>
        <w:numPr>
          <w:ilvl w:val="0"/>
          <w:numId w:val="1023"/>
        </w:numPr>
      </w:pPr>
      <w:r>
        <w:t xml:space="preserve">being a multiple of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even;</w:t>
      </w:r>
    </w:p>
    <w:p>
      <w:pPr>
        <w:pStyle w:val="Compact"/>
        <w:numPr>
          <w:ilvl w:val="0"/>
          <w:numId w:val="1023"/>
        </w:numPr>
      </w:pPr>
      <w:r>
        <w:t xml:space="preserve">being even is a necessary condition 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be a multiple of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FirstParagraph"/>
      </w:pPr>
      <w:r>
        <w:t xml:space="preserve">Being even is not a sufficient condition for being a multiple of</w:t>
      </w:r>
      <w:r>
        <w:t xml:space="preserve"> </w:t>
      </w:r>
      <m:oMath>
        <m:r>
          <m:t>4</m:t>
        </m:r>
      </m:oMath>
      <w:r>
        <w:t xml:space="preserve">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even, but not a multiple of</w:t>
      </w:r>
      <w:r>
        <w:t xml:space="preserve"> </w:t>
      </w:r>
      <m:oMath>
        <m:r>
          <m:t>4</m:t>
        </m:r>
      </m:oMath>
      <w:r>
        <w:t xml:space="preserve">.</w:t>
      </w:r>
    </w:p>
    <w:bookmarkEnd w:id="78"/>
    <w:bookmarkStart w:id="79" w:name="def-proof-by-contradiction"/>
    <w:p>
      <w:pPr>
        <w:pStyle w:val="BodyText"/>
      </w:pPr>
      <w:r>
        <w:rPr>
          <w:b/>
          <w:bCs/>
        </w:rPr>
        <w:t xml:space="preserve">Definition 21 (Proof by contradiction)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contradiction</w:t>
      </w:r>
      <w:r>
        <w:t xml:space="preserve"> </w:t>
      </w:r>
      <w:r>
        <w:t xml:space="preserve">of a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assumes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derives from that assumption a proposition that is known to be false.</w:t>
      </w:r>
      <w:r>
        <w:t xml:space="preserve"> </w:t>
      </w:r>
      <w:r>
        <w:t xml:space="preserve">Since a true assumption cannot lead to a false proposition,</w:t>
      </w:r>
      <w:r>
        <w:t xml:space="preserve"> </w:t>
      </w:r>
      <w:r>
        <w:t xml:space="preserve">the assumption that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must itself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79"/>
    <w:bookmarkStart w:id="80" w:name="exm-proof-by-contradiction"/>
    <w:p>
      <w:pPr>
        <w:pStyle w:val="BodyText"/>
      </w:pPr>
      <w:r>
        <w:rPr>
          <w:b/>
          <w:bCs/>
        </w:rPr>
        <w:t xml:space="preserve">Example 20 (No integer is both even and odd)</w:t>
      </w:r>
      <w:r>
        <w:t xml:space="preserve"> </w:t>
      </w:r>
      <w:r>
        <w:t xml:space="preserve">Suppose, for contradiction, that some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both even and odd (</w:t>
      </w:r>
      <w:hyperlink w:anchor="def-even-odd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equal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2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t>2</m:t>
              </m:r>
              <m:r>
                <m:t>k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2</m:t>
              </m:r>
              <m:r>
                <m:rPr>
                  <m:sty m:val="p"/>
                </m:rPr>
                <m:t>(</m:t>
              </m:r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j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third line uses the</w:t>
      </w:r>
      <w:r>
        <w:t xml:space="preserve"> </w:t>
      </w:r>
      <w:hyperlink r:id="rId65">
        <w:r>
          <w:rPr>
            <w:rStyle w:val="Hyperlink"/>
          </w:rPr>
          <w:t xml:space="preserve">distributive law</w:t>
        </w:r>
      </w:hyperlink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j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 an integer, and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not,</w:t>
      </w:r>
      <w:r>
        <w:t xml:space="preserve"> </w:t>
      </w:r>
      <w:r>
        <w:t xml:space="preserve">so the last line is false.</w:t>
      </w:r>
      <w:r>
        <w:t xml:space="preserve"> </w:t>
      </w:r>
      <w:r>
        <w:t xml:space="preserve">So no integer is both even and odd.</w:t>
      </w:r>
      <w:r>
        <w:t xml:space="preserve"> </w:t>
      </w:r>
      <w:r>
        <w:t xml:space="preserve">For example,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 </w:t>
      </w:r>
      <w:r>
        <w:t xml:space="preserve">is even,</w:t>
      </w:r>
      <w:r>
        <w:t xml:space="preserve"> </w:t>
      </w:r>
      <w:r>
        <w:t xml:space="preserve">and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2.5</m:t>
        </m:r>
      </m:oMath>
      <w:r>
        <w:t xml:space="preserve">, which is not an integer.</w:t>
      </w:r>
    </w:p>
    <w:bookmarkEnd w:id="80"/>
    <w:bookmarkEnd w:id="81"/>
    <w:bookmarkStart w:id="118" w:name="sec-indicator-functions"/>
    <w:p>
      <w:pPr>
        <w:pStyle w:val="Heading2"/>
      </w:pPr>
      <w:r>
        <w:t xml:space="preserve">6 Indicator functions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is a mathematical function that signals</w:t>
      </w:r>
      <w:r>
        <w:t xml:space="preserve"> </w:t>
      </w:r>
      <w:r>
        <w:t xml:space="preserve">whether an element belongs to a specified set,</w:t>
      </w:r>
      <w:r>
        <w:t xml:space="preserve"> </w:t>
      </w:r>
      <w:r>
        <w:t xml:space="preserve">or whether a given logical condition is satisfied.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indicator functions are ubiquitous.</w:t>
      </w:r>
      <w:r>
        <w:t xml:space="preserve"> </w:t>
      </w:r>
      <w:r>
        <w:t xml:space="preserve">They represent:</w:t>
      </w:r>
    </w:p>
    <w:p>
      <w:pPr>
        <w:pStyle w:val="Compact"/>
        <w:numPr>
          <w:ilvl w:val="0"/>
          <w:numId w:val="1024"/>
        </w:numPr>
      </w:pPr>
      <w:r>
        <w:t xml:space="preserve">binary variables, which take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);</w:t>
      </w:r>
    </w:p>
    <w:p>
      <w:pPr>
        <w:pStyle w:val="Compact"/>
        <w:numPr>
          <w:ilvl w:val="0"/>
          <w:numId w:val="1024"/>
        </w:numPr>
      </w:pPr>
      <w:r>
        <w:t xml:space="preserve">event and censoring indicators in survival analysis,</w:t>
      </w:r>
      <w:r>
        <w:t xml:space="preserve"> </w:t>
      </w:r>
      <w:r>
        <w:t xml:space="preserve">the study of the time until an event such as death,</w:t>
      </w:r>
      <w:r>
        <w:t xml:space="preserve"> </w:t>
      </w:r>
      <w:r>
        <w:t xml:space="preserve">where an observation is censored</w:t>
      </w:r>
      <w:r>
        <w:t xml:space="preserve"> </w:t>
      </w:r>
      <w:r>
        <w:t xml:space="preserve">when follow-up ends before its event is seen;</w:t>
      </w:r>
    </w:p>
    <w:p>
      <w:pPr>
        <w:pStyle w:val="Compact"/>
        <w:numPr>
          <w:ilvl w:val="0"/>
          <w:numId w:val="1024"/>
        </w:numPr>
      </w:pPr>
      <w:r>
        <w:t xml:space="preserve">membership in subpopulations;</w:t>
      </w:r>
    </w:p>
    <w:p>
      <w:pPr>
        <w:pStyle w:val="Compact"/>
        <w:numPr>
          <w:ilvl w:val="0"/>
          <w:numId w:val="1024"/>
        </w:numPr>
      </w:pPr>
      <w:r>
        <w:t xml:space="preserve">domain restrictions in integrals and sums.</w:t>
      </w:r>
    </w:p>
    <w:p>
      <w:pPr>
        <w:pStyle w:val="FirstParagraph"/>
      </w:pPr>
      <w:r>
        <w:t xml:space="preserve">Despite their conceptual simplicity,</w:t>
      </w:r>
      <w:r>
        <w:t xml:space="preserve"> </w:t>
      </w:r>
      <w:r>
        <w:t xml:space="preserve">notation for indicator functions varies substantially across textbooks,</w:t>
      </w:r>
      <w:r>
        <w:t xml:space="preserve"> </w:t>
      </w:r>
      <w:r>
        <w:t xml:space="preserve">research papers,</w:t>
      </w:r>
      <w:r>
        <w:t xml:space="preserve"> </w:t>
      </w:r>
      <w:r>
        <w:t xml:space="preserve">and subfields.</w:t>
      </w:r>
      <w:r>
        <w:t xml:space="preserve"> </w:t>
      </w:r>
      <w:r>
        <w:t xml:space="preserve">This section summarizes the principal notational conventions.</w:t>
      </w:r>
    </w:p>
    <w:bookmarkStart w:id="82" w:name="def-indicator-function"/>
    <w:p>
      <w:pPr>
        <w:pStyle w:val="BodyText"/>
      </w:pPr>
      <w:r>
        <w:rPr>
          <w:b/>
          <w:bCs/>
        </w:rPr>
        <w:t xml:space="preserve">Definition 22 (Indicator function)</w:t>
      </w:r>
      <w:r>
        <w:t xml:space="preserve"> </w:t>
      </w:r>
      <w:r>
        <w:t xml:space="preserve">For any subset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ty m:val="p"/>
          </m:rPr>
          <m:t>Ω</m:t>
        </m:r>
      </m:oMath>
      <w:r>
        <w:t xml:space="preserve"> </w:t>
      </w:r>
      <w:r>
        <w:t xml:space="preserve">of a universal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 function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set indicator</w:t>
      </w:r>
      <w:r>
        <w:t xml:space="preserve">,</w:t>
      </w:r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:</m:t>
        </m:r>
        <m:r>
          <m:rPr>
            <m:sty m:val="p"/>
          </m:rPr>
          <m:t>Ω</m:t>
        </m:r>
        <m:r>
          <m:rPr>
            <m:sty m:val="p"/>
          </m:rPr>
          <m:t>→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defined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x</m:t>
                    </m:r>
                    <m:r>
                      <m:rPr>
                        <m:sty m:val="p"/>
                      </m:rPr>
                      <m:t>∉</m:t>
                    </m:r>
                    <m:r>
                      <m:t>A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More generally,</w:t>
      </w:r>
      <w:r>
        <w:t xml:space="preserve"> </w:t>
      </w:r>
      <w:r>
        <w:t xml:space="preserve">for any logical proposition or predicate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indicator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predicate indicator</w:t>
      </w:r>
      <w:r>
        <w:t xml:space="preserve">,</w:t>
      </w:r>
      <w:r>
        <w:t xml:space="preserve"> </w:t>
      </w:r>
      <w:r>
        <w:t xml:space="preserve">takes the value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1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82"/>
    <w:bookmarkStart w:id="83" w:name="exm-indicator-numerical"/>
    <w:p>
      <w:pPr>
        <w:pStyle w:val="FirstParagraph"/>
      </w:pPr>
      <w:r>
        <w:rPr>
          <w:b/>
          <w:bCs/>
        </w:rPr>
        <w:t xml:space="preserve">Example 21 (Evaluating set and predicate indicators)</w:t>
      </w:r>
      <w:r>
        <w:t xml:space="preserve"> </w:t>
      </w:r>
      <w:r>
        <w:t xml:space="preserve">Consider the real line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set of nonnegative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continuous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(defined in the Morrison Lab’s probability notes).</w:t>
      </w:r>
    </w:p>
    <w:p>
      <w:pPr>
        <w:pStyle w:val="Compact"/>
        <w:numPr>
          <w:ilvl w:val="0"/>
          <w:numId w:val="1025"/>
        </w:numPr>
      </w:pPr>
      <w:r>
        <w:t xml:space="preserve">Set indicator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: since</w:t>
      </w:r>
      <w:r>
        <w:t xml:space="preserve"> </w:t>
      </w:r>
      <m:oMath>
        <m:r>
          <m:t>3.5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6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: since</w:t>
      </w:r>
      <w:r>
        <w:t xml:space="preserve"> </w:t>
      </w:r>
      <m:oMath>
        <m:r>
          <m:rPr>
            <m:sty m:val="p"/>
          </m:rPr>
          <m:t>−</m:t>
        </m:r>
        <m:r>
          <m:t>2.1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7.2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7.2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1"/>
          <w:numId w:val="1027"/>
        </w:numPr>
      </w:pPr>
      <w:r>
        <w:t xml:space="preserve">If an observation yields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4.1</m:t>
        </m:r>
      </m:oMath>
      <w:r>
        <w:t xml:space="preserve">,</w:t>
      </w:r>
      <w:r>
        <w:t xml:space="preserve"> </w:t>
      </w:r>
      <w:r>
        <w:t xml:space="preserve">the predicate</w:t>
      </w:r>
      <w:r>
        <w:t xml:space="preserve"> </w:t>
      </w:r>
      <m:oMath>
        <m:r>
          <m:t>4.1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4.1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3"/>
    <w:bookmarkStart w:id="84" w:name="def-binary-variable"/>
    <w:p>
      <w:pPr>
        <w:pStyle w:val="FirstParagraph"/>
      </w:pPr>
      <w:r>
        <w:rPr>
          <w:b/>
          <w:bCs/>
        </w:rPr>
        <w:t xml:space="preserve">Definition 23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variable that takes only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bookmarkEnd w:id="84"/>
    <w:bookmarkStart w:id="85" w:name="exm-binary-variable"/>
    <w:p>
      <w:pPr>
        <w:pStyle w:val="BodyText"/>
      </w:pPr>
      <w:r>
        <w:rPr>
          <w:b/>
          <w:bCs/>
        </w:rPr>
        <w:t xml:space="preserve">Example 22 (A binary variable is an indicator)</w:t>
      </w:r>
      <w:r>
        <w:t xml:space="preserve"> </w:t>
      </w:r>
      <w:r>
        <w:t xml:space="preserve">In a study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people,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 and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binary variable (</w:t>
      </w:r>
      <w:hyperlink w:anchor="def-binary-variable">
        <w:r>
          <w:rPr>
            <w:rStyle w:val="Hyperlink"/>
          </w:rPr>
          <w:t xml:space="preserve">Definition 23</w:t>
        </w:r>
      </w:hyperlink>
      <w:r>
        <w:t xml:space="preserve">).</w:t>
      </w:r>
      <w:r>
        <w:t xml:space="preserve"> </w:t>
      </w:r>
      <w:r>
        <w:t xml:space="preserve">It is also the predicate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“person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smokes”</w:t>
      </w:r>
      <w:r>
        <w:t xml:space="preserve">:</w:t>
      </w:r>
      <w:r>
        <w:t xml:space="preserve"> </w:t>
      </w:r>
      <m:oMath>
        <m:sSub>
          <m:e>
            <m:r>
              <m:t>s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nor/>
                <m:sty m:val="p"/>
              </m:rPr>
              <m:t>person </m:t>
            </m:r>
            <m:r>
              <m:t>i</m:t>
            </m:r>
            <m:r>
              <m:rPr>
                <m:nor/>
                <m:sty m:val="p"/>
              </m:rPr>
              <m:t> smokes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In the same way,</w:t>
      </w:r>
      <w:r>
        <w:t xml:space="preserve"> </w:t>
      </w:r>
      <w:r>
        <w:t xml:space="preserve">every indicator is a binary variable,</w:t>
      </w:r>
      <w:r>
        <w:t xml:space="preserve"> </w:t>
      </w:r>
      <w:r>
        <w:t xml:space="preserve">and every binary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indicator of its own value being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since both sides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5"/>
    <w:bookmarkStart w:id="93" w:name="X156504d913efc1f49ad7c2e43ace68824d2fb5d"/>
    <w:p>
      <w:pPr>
        <w:pStyle w:val="Heading3"/>
      </w:pPr>
      <w:r>
        <w:t xml:space="preserve">6.1 Two primary notational paradigms: set vs. predicate notation</w:t>
      </w:r>
    </w:p>
    <w:p>
      <w:pPr>
        <w:pStyle w:val="FirstParagraph"/>
      </w:pPr>
      <w:r>
        <w:t xml:space="preserve">The vast majority of indicator notations belong to one of two families:</w:t>
      </w:r>
      <w:r>
        <w:t xml:space="preserve"> </w:t>
      </w:r>
      <w:r>
        <w:t xml:space="preserve">set notation or predicate notation.</w:t>
      </w:r>
    </w:p>
    <w:bookmarkStart w:id="86" w:name="def-set-predicate-notation"/>
    <w:p>
      <w:pPr>
        <w:pStyle w:val="BodyText"/>
      </w:pPr>
      <w:r>
        <w:rPr>
          <w:b/>
          <w:bCs/>
        </w:rPr>
        <w:t xml:space="preserve">Definition 24 (Set notation and predicate notation for indicators)</w:t>
      </w:r>
      <w:r>
        <w:t xml:space="preserve"> </w:t>
      </w:r>
      <w:r>
        <w:t xml:space="preserve">An indicator 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is written in</w:t>
      </w:r>
      <w:r>
        <w:t xml:space="preserve"> </w:t>
      </w:r>
      <w:r>
        <w:rPr>
          <w:b/>
          <w:bCs/>
        </w:rPr>
        <w:t xml:space="preserve">set notation</w:t>
      </w:r>
      <w:r>
        <w:t xml:space="preserve"> </w:t>
      </w:r>
      <w:r>
        <w:t xml:space="preserve">when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appears as a subscript,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</w:t>
      </w:r>
      <w:r>
        <w:t xml:space="preserve"> </w:t>
      </w:r>
      <w:r>
        <w:rPr>
          <w:b/>
          <w:bCs/>
        </w:rPr>
        <w:t xml:space="preserve">predicate notation</w:t>
      </w:r>
      <w:r>
        <w:t xml:space="preserve"> </w:t>
      </w:r>
      <w:r>
        <w:t xml:space="preserve">when a proposition or predicate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w:anchor="def-predicate">
        <w:r>
          <w:rPr>
            <w:rStyle w:val="Hyperlink"/>
          </w:rPr>
          <w:t xml:space="preserve">Definition 10</w:t>
        </w:r>
      </w:hyperlink>
      <w:r>
        <w:t xml:space="preserve">) appears as its argument,</w:t>
      </w:r>
      <w:r>
        <w:t xml:space="preserve"> </w:t>
      </w:r>
      <w:r>
        <w:t xml:space="preserve">as in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</w:p>
    <w:bookmarkEnd w:id="86"/>
    <w:bookmarkStart w:id="87" w:name="exm-set-predicate-notation"/>
    <w:p>
      <w:pPr>
        <w:pStyle w:val="BodyText"/>
      </w:pPr>
      <w:r>
        <w:rPr>
          <w:b/>
          <w:bCs/>
        </w:rPr>
        <w:t xml:space="preserve">Example 23 (One indicator in both notations)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the nonnegative real numbers.</w:t>
      </w:r>
      <w:r>
        <w:t xml:space="preserve"> </w:t>
      </w:r>
      <w:r>
        <w:t xml:space="preserve">The indicator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set notation,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in predicate notation</w:t>
      </w:r>
      <w:r>
        <w:t xml:space="preserve"> </w:t>
      </w:r>
      <w:r>
        <w:t xml:space="preserve">(</w:t>
      </w:r>
      <w:hyperlink w:anchor="def-set-predicate-notation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3.5</m:t>
        </m:r>
      </m:oMath>
      <w:r>
        <w:t xml:space="preserve">, all three equal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2.1</m:t>
        </m:r>
      </m:oMath>
      <w:r>
        <w:t xml:space="preserve">, all three equal</w:t>
      </w:r>
      <w:r>
        <w:t xml:space="preserve"> </w:t>
      </w:r>
      <m:oMath>
        <m:r>
          <m:t>0</m:t>
        </m:r>
      </m:oMath>
      <w:r>
        <w:t xml:space="preserve">.</w:t>
      </w:r>
    </w:p>
    <w:bookmarkEnd w:id="87"/>
    <w:bookmarkStart w:id="88" w:name="set-notation"/>
    <w:p>
      <w:pPr>
        <w:pStyle w:val="Heading4"/>
      </w:pPr>
      <w:r>
        <w:t xml:space="preserve">Set notation</w:t>
      </w:r>
    </w:p>
    <w:p>
      <w:pPr>
        <w:pStyle w:val="FirstParagraph"/>
      </w:pPr>
      <w:r>
        <w:t xml:space="preserve">In set notation,</w:t>
      </w:r>
      <w:r>
        <w:t xml:space="preserve"> </w:t>
      </w:r>
      <w:r>
        <w:t xml:space="preserve">the indicator is tied to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appears as a subscript: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numeral one)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(capital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rPr>
                <m:scr m:val="double-struck"/>
                <m:sty m:val="p"/>
              </m:rPr>
              <m:t>I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(blackboard bold letter</w:t>
      </w:r>
      <w:r>
        <w:t xml:space="preserve"> </w:t>
      </w:r>
      <m:oMath>
        <m:r>
          <m:t>I</m:t>
        </m:r>
      </m:oMath>
      <w:r>
        <w:t xml:space="preserve">)</w:t>
      </w:r>
    </w:p>
    <w:p>
      <w:pPr>
        <w:pStyle w:val="Compact"/>
        <w:numPr>
          <w:ilvl w:val="0"/>
          <w:numId w:val="1028"/>
        </w:numPr>
      </w:pPr>
      <m:oMath>
        <m:sSub>
          <m:e>
            <m:r>
              <m:t>χ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(Greek letter chi, historically termed the</w:t>
      </w:r>
      <w:r>
        <w:t xml:space="preserve"> </w:t>
      </w:r>
      <w:r>
        <w:rPr>
          <w:i/>
          <w:iCs/>
        </w:rPr>
        <w:t xml:space="preserve">characteristic function</w:t>
      </w:r>
      <w:r>
        <w:t xml:space="preserve">)</w:t>
      </w:r>
    </w:p>
    <w:p>
      <w:pPr>
        <w:pStyle w:val="FirstParagraph"/>
      </w:pPr>
      <w:r>
        <w:t xml:space="preserve">When the function is viewed as a mathematical object in its own right</w:t>
      </w:r>
      <w:r>
        <w:t xml:space="preserve"> </w:t>
      </w:r>
      <w:r>
        <w:t xml:space="preserve">(for instance, as an element of 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space,</w:t>
      </w:r>
      <w:r>
        <w:t xml:space="preserve"> </w:t>
      </w:r>
      <w:r>
        <w:t xml:space="preserve">the set of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t>p</m:t>
            </m:r>
          </m:sup>
        </m:sSup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finite),</w:t>
      </w:r>
      <w:r>
        <w:t xml:space="preserve"> </w:t>
      </w:r>
      <w:r>
        <w:t xml:space="preserve">authors often omit the argument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 simply</w:t>
      </w:r>
      <w:r>
        <w:t xml:space="preserve"> </w:t>
      </w:r>
      <m:oMath>
        <m:sSub>
          <m:e>
            <m:r>
              <m:rPr>
                <m:sty m:val="b"/>
              </m:rPr>
              <m:t>1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, or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</w:p>
    <w:bookmarkEnd w:id="88"/>
    <w:bookmarkStart w:id="89" w:name="predicate-notation"/>
    <w:p>
      <w:pPr>
        <w:pStyle w:val="Heading4"/>
      </w:pPr>
      <w:r>
        <w:t xml:space="preserve">Predicate notation</w:t>
      </w:r>
    </w:p>
    <w:p>
      <w:pPr>
        <w:pStyle w:val="FirstParagraph"/>
      </w:pPr>
      <w:r>
        <w:t xml:space="preserve">In predicate notation,</w:t>
      </w:r>
      <w:r>
        <w:t xml:space="preserve"> </w:t>
      </w:r>
      <w:r>
        <w:t xml:space="preserve">the indicator takes a logical condition,</w:t>
      </w:r>
      <w:r>
        <w:t xml:space="preserve"> </w:t>
      </w:r>
      <w:r>
        <w:t xml:space="preserve">relation,</w:t>
      </w:r>
      <w:r>
        <w:t xml:space="preserve"> </w:t>
      </w:r>
      <w:r>
        <w:t xml:space="preserve">or proposition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directly as its argument or subscript:</w:t>
      </w:r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29"/>
        </w:numPr>
      </w:pP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rPr>
            <m:sty m:val="p"/>
          </m:rPr>
          <m:t>{</m:t>
        </m:r>
        <m:r>
          <m:t>P</m:t>
        </m:r>
        <m:r>
          <m:rPr>
            <m:sty m:val="p"/>
          </m:rPr>
          <m:t>}</m:t>
        </m:r>
      </m:oMath>
    </w:p>
    <w:p>
      <w:pPr>
        <w:pStyle w:val="Compact"/>
        <w:numPr>
          <w:ilvl w:val="0"/>
          <w:numId w:val="1029"/>
        </w:numPr>
      </w:pPr>
      <m:oMath>
        <m:r>
          <m:t>I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Predicate notation is especially common in applied statistics and survival analysis,</w:t>
      </w:r>
      <w:r>
        <w:t xml:space="preserve"> </w:t>
      </w:r>
      <w:r>
        <w:t xml:space="preserve">where indicators frequently depend on inequalities (</w:t>
      </w:r>
      <w:hyperlink w:anchor="def-inequality">
        <w:r>
          <w:rPr>
            <w:rStyle w:val="Hyperlink"/>
          </w:rPr>
          <w:t xml:space="preserve">Definition 13</w:t>
        </w:r>
      </w:hyperlink>
      <w:r>
        <w:t xml:space="preserve">) involving random variables,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T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≤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(an event occurring before time</w:t>
      </w:r>
      <w:r>
        <w:t xml:space="preserve"> </w:t>
      </w:r>
      <m:oMath>
        <m:r>
          <m:t>t</m:t>
        </m:r>
      </m:oMath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(a binary outcome).</w:t>
      </w:r>
    </w:p>
    <w:bookmarkEnd w:id="89"/>
    <w:bookmarkStart w:id="92" w:name="equivalence-between-paradigms"/>
    <w:p>
      <w:pPr>
        <w:pStyle w:val="Heading4"/>
      </w:pPr>
      <w:r>
        <w:t xml:space="preserve">Equivalence between paradigms</w:t>
      </w:r>
    </w:p>
    <w:p>
      <w:pPr>
        <w:pStyle w:val="FirstParagraph"/>
      </w:pPr>
      <w:r>
        <w:t xml:space="preserve">The two paradigms are connected by evaluating the predicate indicator</w:t>
      </w:r>
      <w:r>
        <w:t xml:space="preserve"> </w:t>
      </w:r>
      <w:r>
        <w:t xml:space="preserve">at the membership statement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I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</m:oMath>
      </m:oMathPara>
    </w:p>
    <w:bookmarkStart w:id="90" w:name="def-support"/>
    <w:p>
      <w:pPr>
        <w:pStyle w:val="FirstParagraph"/>
      </w:pPr>
      <w:r>
        <w:rPr>
          <w:b/>
          <w:bCs/>
        </w:rPr>
        <w:t xml:space="preserve">Definition 25 (Support of a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a discrete distribution</w:t>
      </w:r>
      <w:r>
        <w:t xml:space="preserve"> </w:t>
      </w:r>
      <w:r>
        <w:t xml:space="preserve">is the set of values it gives positive probability.</w:t>
      </w:r>
      <w:r>
        <w:t xml:space="preserve"> </w:t>
      </w:r>
      <w:r>
        <w:t xml:space="preserve">The support of a continuous distribution</w:t>
      </w:r>
      <w:r>
        <w:t xml:space="preserve"> </w:t>
      </w:r>
      <w:r>
        <w:t xml:space="preserve">is the set of values where its density is positive.</w:t>
      </w:r>
    </w:p>
    <w:bookmarkEnd w:id="90"/>
    <w:bookmarkStart w:id="91" w:name="exm-support"/>
    <w:p>
      <w:pPr>
        <w:pStyle w:val="BodyText"/>
      </w:pPr>
      <w:r>
        <w:rPr>
          <w:b/>
          <w:bCs/>
        </w:rPr>
        <w:t xml:space="preserve">Example 24 (Supports of two count distributions)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A fair six-sided die gives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probability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every other value probability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its support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30"/>
        </w:numPr>
      </w:pPr>
      <w:r>
        <w:t xml:space="preserve">A count that can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 so on,</w:t>
      </w:r>
      <w:r>
        <w:t xml:space="preserve"> </w:t>
      </w:r>
      <w:r>
        <w:t xml:space="preserve">each with positive probability,</w:t>
      </w:r>
      <w:r>
        <w:t xml:space="preserve"> </w:t>
      </w:r>
      <w:r>
        <w:t xml:space="preserve">such as the number of hospital visits in a year,</w:t>
      </w:r>
      <w:r>
        <w:t xml:space="preserve"> </w:t>
      </w:r>
      <w:r>
        <w:t xml:space="preserve">has support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FirstParagraph"/>
      </w:pPr>
      <w:r>
        <w:t xml:space="preserve">Set notation is more natural when the underlying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 standard name</w:t>
      </w:r>
      <w:r>
        <w:t xml:space="preserve"> </w:t>
      </w:r>
      <w:r>
        <w:t xml:space="preserve">(such as the support of a distribution (</w:t>
      </w:r>
      <w:hyperlink w:anchor="def-support">
        <w:r>
          <w:rPr>
            <w:rStyle w:val="Hyperlink"/>
          </w:rPr>
          <w:t xml:space="preserve">Definition 25</w:t>
        </w:r>
      </w:hyperlink>
      <w:r>
        <w:t xml:space="preserve">),</w:t>
      </w:r>
      <w:r>
        <w:t xml:space="preserve"> </w:t>
      </w:r>
      <w:r>
        <w:t xml:space="preserve">or a geometric region).</w:t>
      </w:r>
      <w:r>
        <w:t xml:space="preserve"> </w:t>
      </w:r>
      <w:r>
        <w:t xml:space="preserve">Predicate notation is more natural when the condition involves compound inequalities,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.</w:t>
      </w:r>
    </w:p>
    <w:bookmarkEnd w:id="92"/>
    <w:bookmarkEnd w:id="93"/>
    <w:bookmarkStart w:id="100" w:name="iverson-bracket-notation"/>
    <w:p>
      <w:pPr>
        <w:pStyle w:val="Heading3"/>
      </w:pPr>
      <w:r>
        <w:t xml:space="preserve">6.2 Iverson bracket notation</w:t>
      </w:r>
    </w:p>
    <w:p>
      <w:pPr>
        <w:pStyle w:val="FirstParagraph"/>
      </w:pPr>
      <w:r>
        <w:t xml:space="preserve">In 1962,</w:t>
      </w:r>
      <w:r>
        <w:t xml:space="preserve"> </w:t>
      </w:r>
      <w:r>
        <w:t xml:space="preserve">Kenneth Iverson introduced a compact notation in the programming language APL,</w:t>
      </w:r>
      <w:r>
        <w:t xml:space="preserve"> </w:t>
      </w:r>
      <w:r>
        <w:t xml:space="preserve">later popularized in mathematics and computer science by Donald Knuth:</w:t>
      </w:r>
      <w:r>
        <w:t xml:space="preserve"> </w:t>
      </w:r>
      <w:r>
        <w:t xml:space="preserve">the</w:t>
      </w:r>
      <w:r>
        <w:t xml:space="preserve"> </w:t>
      </w:r>
      <w:hyperlink r:id="rId94">
        <w:r>
          <w:rPr>
            <w:rStyle w:val="Hyperlink"/>
          </w:rPr>
          <w:t xml:space="preserve">Iverson bracket</w:t>
        </w:r>
      </w:hyperlink>
      <w:r>
        <w:t xml:space="preserve">.</w:t>
      </w:r>
    </w:p>
    <w:bookmarkStart w:id="95" w:name="def-iverson-bracket"/>
    <w:p>
      <w:pPr>
        <w:pStyle w:val="BodyText"/>
      </w:pPr>
      <w:r>
        <w:rPr>
          <w:b/>
          <w:bCs/>
        </w:rPr>
        <w:t xml:space="preserve">Definition 26 (Iverson bracket)</w:t>
      </w:r>
      <w:r>
        <w:t xml:space="preserve"> </w:t>
      </w:r>
      <w:r>
        <w:t xml:space="preserve">For any logical proposition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Iverson bracket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P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true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P</m:t>
                    </m:r>
                    <m:r>
                      <m:rPr>
                        <m:nor/>
                        <m:sty m:val="p"/>
                      </m:rPr>
                      <m:t> is false</m:t>
                    </m:r>
                  </m:e>
                </m:mr>
              </m:m>
            </m:e>
          </m:d>
        </m:oMath>
      </m:oMathPara>
    </w:p>
    <w:bookmarkEnd w:id="95"/>
    <w:bookmarkStart w:id="96" w:name="exm-iverson-bracket"/>
    <w:p>
      <w:pPr>
        <w:pStyle w:val="FirstParagraph"/>
      </w:pPr>
      <w:r>
        <w:rPr>
          <w:b/>
          <w:bCs/>
        </w:rPr>
        <w:t xml:space="preserve">Example 25 (Evaluating Iverson brackets)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3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 because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&gt;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2</m:t>
        </m:r>
        <m:r>
          <m:rPr>
            <m:sty m:val="p"/>
          </m:rPr>
          <m:t>&gt;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31"/>
        </w:numPr>
      </w:pPr>
      <m:oMath>
        <m:r>
          <m:rPr>
            <m:sty m:val="p"/>
          </m:rPr>
          <m:t>[</m:t>
        </m:r>
        <m:r>
          <m:t>4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 because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not an element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96"/>
    <w:bookmarkStart w:id="97" w:name="rem-iverson-indicator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Iverson bracket is the predicate indicator). </w:t>
      </w:r>
      <w:r>
        <w:t xml:space="preserve">The Iverson bracket</w:t>
      </w:r>
      <w:r>
        <w:t xml:space="preserve"> </w:t>
      </w:r>
      <m:oMath>
        <m:r>
          <m:rPr>
            <m:sty m:val="p"/>
          </m:rPr>
          <m:t>[</m:t>
        </m:r>
        <m:r>
          <m:t>P</m:t>
        </m:r>
        <m:r>
          <m:rPr>
            <m:sty m:val="p"/>
          </m:rPr>
          <m:t>]</m:t>
        </m:r>
      </m:oMath>
      <w:r>
        <w:t xml:space="preserve"> </w:t>
      </w:r>
      <w:r>
        <w:t xml:space="preserve">is the predicate indicator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indicator-function">
        <w:r>
          <w:rPr>
            <w:rStyle w:val="Hyperlink"/>
          </w:rPr>
          <w:t xml:space="preserve">Definition 22</w:t>
        </w:r>
      </w:hyperlink>
      <w:r>
        <w:t xml:space="preserve">) in different notation.</w:t>
      </w:r>
      <w:r>
        <w:t xml:space="preserve"> </w:t>
      </w:r>
      <w:r>
        <w:t xml:space="preserve">Under this notation,</w:t>
      </w:r>
      <w:r>
        <w:t xml:space="preserve"> </w:t>
      </w:r>
      <w:r>
        <w:t xml:space="preserve">set membership is written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the values in</w:t>
      </w:r>
      <w:r>
        <w:t xml:space="preserve"> </w:t>
      </w:r>
      <w:hyperlink w:anchor="exm-indicator-numerical">
        <w:r>
          <w:rPr>
            <w:rStyle w:val="Hyperlink"/>
          </w:rPr>
          <w:t xml:space="preserve">Example 21</w:t>
        </w:r>
      </w:hyperlink>
      <w:r>
        <w:t xml:space="preserve"> </w:t>
      </w:r>
      <w:r>
        <w:t xml:space="preserve">become</w:t>
      </w:r>
      <w:r>
        <w:t xml:space="preserve"> </w:t>
      </w:r>
      <m:oMath>
        <m:r>
          <m:rPr>
            <m:sty m:val="p"/>
          </m:rPr>
          <m:t>[</m:t>
        </m:r>
        <m:r>
          <m:t>7.2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7.2</m:t>
            </m:r>
            <m:r>
              <m:rPr>
                <m:sty m:val="p"/>
              </m:rPr>
              <m:t>&gt;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−</m:t>
        </m:r>
        <m:r>
          <m:t>2.1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7"/>
    <w:bookmarkStart w:id="98" w:name="def-kronecker-delta"/>
    <w:p>
      <w:pPr>
        <w:pStyle w:val="BodyText"/>
      </w:pPr>
      <w:r>
        <w:rPr>
          <w:b/>
          <w:bCs/>
        </w:rPr>
        <w:t xml:space="preserve">Definition 27 (Kronecker delta)</w:t>
      </w:r>
      <w:r>
        <w:t xml:space="preserve"> </w:t>
      </w:r>
      <w:r>
        <w:t xml:space="preserve">For integers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Kronecker delta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i</m:t>
          </m:r>
          <m:r>
            <m:rPr>
              <m:sty m:val="p"/>
            </m:rPr>
            <m:t>=</m:t>
          </m:r>
          <m:r>
            <m:t>j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(</w:t>
      </w:r>
      <w:hyperlink w:anchor="def-iverson-bracket">
        <w:r>
          <w:rPr>
            <w:rStyle w:val="Hyperlink"/>
          </w:rPr>
          <w:t xml:space="preserve">Definition 26</w:t>
        </w:r>
      </w:hyperlink>
      <w:r>
        <w:t xml:space="preserve">).</w:t>
      </w:r>
    </w:p>
    <w:bookmarkEnd w:id="98"/>
    <w:bookmarkStart w:id="99" w:name="exm-kronecker-delta"/>
    <w:p>
      <w:pPr>
        <w:pStyle w:val="BodyText"/>
      </w:pPr>
      <w:r>
        <w:rPr>
          <w:b/>
          <w:bCs/>
        </w:rPr>
        <w:t xml:space="preserve">Example 26 (Evaluating the Kronecker delta)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2"/>
        </w:numPr>
      </w:pPr>
      <m:oMath>
        <m:sSub>
          <m:e>
            <m:r>
              <m:t>δ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9"/>
    <w:bookmarkEnd w:id="100"/>
    <w:bookmarkStart w:id="104" w:name="Xd6f58182005cccf55080a628cd9152d2b1165ed"/>
    <w:p>
      <w:pPr>
        <w:pStyle w:val="Heading3"/>
      </w:pPr>
      <w:r>
        <w:t xml:space="preserve">6.3 Strengths and limitations of the Iverson bracket</w:t>
      </w:r>
    </w:p>
    <w:p>
      <w:pPr>
        <w:pStyle w:val="FirstParagraph"/>
      </w:pPr>
      <w:r>
        <w:t xml:space="preserve">The primary advantage of the Iverson bracket is algebraic conciseness:</w:t>
      </w:r>
      <w:r>
        <w:t xml:space="preserve"> </w:t>
      </w:r>
      <w:r>
        <w:t xml:space="preserve">it turns a sum or integral over a subset</w:t>
      </w:r>
      <w:r>
        <w:t xml:space="preserve"> </w:t>
      </w:r>
      <w:r>
        <w:t xml:space="preserve">into a sum or integral over a larger, fixed set.</w:t>
      </w:r>
      <w:r>
        <w:t xml:space="preserve"> </w:t>
      </w: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</w:t>
      </w:r>
      <w:r>
        <w:t xml:space="preserve"> </w:t>
      </w:r>
      <w:hyperlink r:id="rId101">
        <w:r>
          <w:rPr>
            <w:rStyle w:val="Hyperlink"/>
          </w:rPr>
          <w:t xml:space="preserve">finite set</w:t>
        </w:r>
      </w:hyperlink>
      <w:r>
        <w:t xml:space="preserve"> </w:t>
      </w:r>
      <w:r>
        <w:t xml:space="preserve">that contains</w:t>
      </w:r>
      <w:r>
        <w:t xml:space="preserve"> </w:t>
      </w:r>
      <m:oMath>
        <m:r>
          <m:t>A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U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[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both sides equal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However,</w:t>
      </w:r>
      <w:r>
        <w:t xml:space="preserve"> </w:t>
      </w:r>
      <w:r>
        <w:t xml:space="preserve">in statistics and epidemiology,</w:t>
      </w:r>
      <w:r>
        <w:t xml:space="preserve"> </w:t>
      </w:r>
      <w:r>
        <w:t xml:space="preserve">square brackets are already heavily overloaded:</w:t>
      </w:r>
      <w:r>
        <w:t xml:space="preserve"> </w:t>
      </w:r>
      <w:r>
        <w:t xml:space="preserve">they denote</w:t>
      </w:r>
      <w:r>
        <w:t xml:space="preserve"> </w:t>
      </w:r>
      <w:hyperlink r:id="rId102">
        <w:r>
          <w:rPr>
            <w:rStyle w:val="Hyperlink"/>
          </w:rPr>
          <w:t xml:space="preserve">closed intervals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hyperlink r:id="rId103">
        <w:r>
          <w:rPr>
            <w:rStyle w:val="Hyperlink"/>
          </w:rPr>
          <w:t xml:space="preserve">conditional expectations</w:t>
        </w:r>
      </w:hyperlink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]</m:t>
        </m:r>
      </m:oMath>
      <w:r>
        <w:t xml:space="preserve"> </w:t>
      </w:r>
      <w:r>
        <w:t xml:space="preserve">(defined in the probability notes),</w:t>
      </w:r>
      <w:r>
        <w:t xml:space="preserve"> </w:t>
      </w:r>
      <w:r>
        <w:t xml:space="preserve">and matrix delimiters.</w:t>
      </w:r>
      <w:r>
        <w:t xml:space="preserve"> </w:t>
      </w:r>
      <w:r>
        <w:t xml:space="preserve">To prevent visual confusion with expectation brackets or intervals,</w:t>
      </w:r>
      <w:r>
        <w:t xml:space="preserve"> </w:t>
      </w:r>
      <w:r>
        <w:t xml:space="preserve">statistical literature predominantly uses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rather than the bare Iverson bracket.</w:t>
      </w:r>
    </w:p>
    <w:bookmarkEnd w:id="104"/>
    <w:bookmarkStart w:id="106" w:name="summary-of-indicator-notations"/>
    <w:p>
      <w:pPr>
        <w:pStyle w:val="Heading3"/>
      </w:pPr>
      <w:r>
        <w:t xml:space="preserve">6.4 Summary of indicator notations</w:t>
      </w:r>
    </w:p>
    <w:p>
      <w:pPr>
        <w:pStyle w:val="FirstParagraph"/>
      </w:pPr>
      <w:hyperlink w:anchor="tbl-indicator-notations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compares the major notations encountered across the literature.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indicator-notatio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Notations for indicator functions across mathematical and statistical literature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64"/>
              <w:gridCol w:w="1564"/>
              <w:gridCol w:w="1564"/>
              <w:gridCol w:w="322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Notation style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Typical syntax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Primary fields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Notes and potential ambiguities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cr m:val="double-struck"/>
                            <m:sty m:val="p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Modern probability, mathematical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Unambiguous; distinct from matrices and scalars; standard in this book.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Bold numeral 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rPr>
                            <m:sty m:val="b"/>
                          </m:rPr>
                          <m:t>1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Probability theory,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a vector of ones</w:t>
                  </w:r>
                  <w:r>
                    <w:t xml:space="preserve"> </w:t>
                  </w:r>
                  <m:oMath>
                    <m:r>
                      <m:rPr>
                        <m:sty m:val="b"/>
                      </m:rP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Blackboard bold 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Econometrics, machine learning, statistics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Clear predicate notation; avoids confusion with numerals.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I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I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t>I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Classical statistics, epidemiology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Can be confused with the identity matrix</w:t>
                  </w:r>
                  <w:r>
                    <w:t xml:space="preserve"> </w:t>
                  </w:r>
                  <m:oMath>
                    <m:r>
                      <m:t>I</m:t>
                    </m:r>
                  </m:oMath>
                  <w:r>
                    <w:t xml:space="preserve"> </w:t>
                  </w:r>
                  <w:r>
                    <w:t xml:space="preserve">or the Fisher information</w:t>
                  </w:r>
                  <w:r>
                    <w:t xml:space="preserve"> </w:t>
                  </w: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, which measures how much a sample tells about a parameter.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Iverson bracket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[</m:t>
                    </m:r>
                    <m:r>
                      <m:t>P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Computer science, discrete mathematics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Very compact, but square brackets collide with intervals and expectation brackets.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Greek letter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χ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χ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Real analysis, measure theory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Often termed</w:t>
                  </w:r>
                  <w:r>
                    <w:t xml:space="preserve"> </w:t>
                  </w:r>
                  <w:r>
                    <w:t xml:space="preserve">“characteristic function”</w:t>
                  </w:r>
                  <w:r>
                    <w:t xml:space="preserve">; in probability, that name instead means</w:t>
                  </w:r>
                  <w:r>
                    <w:t xml:space="preserve"> </w:t>
                  </w:r>
                  <m:oMath>
                    <m:r>
                      <m:t>t</m:t>
                    </m:r>
                    <m:r>
                      <m:rPr>
                        <m:sty m:val="p"/>
                      </m:rPr>
                      <m:t>↦</m:t>
                    </m:r>
                    <m:r>
                      <m:rPr>
                        <m:sty m:val="p"/>
                      </m:rPr>
                      <m:t>E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i</m:t>
                        </m:r>
                        <m:r>
                          <m:t>t</m:t>
                        </m:r>
                        <m:r>
                          <m:t>X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a random variable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05"/>
          <w:p/>
        </w:tc>
      </w:tr>
    </w:tbl>
    <w:bookmarkEnd w:id="106"/>
    <w:bookmarkStart w:id="107" w:name="conventions-in-this-book"/>
    <w:p>
      <w:pPr>
        <w:pStyle w:val="Heading3"/>
      </w:pPr>
      <w:r>
        <w:t xml:space="preserve">6.5 Conventions in this book</w:t>
      </w:r>
    </w:p>
    <w:p>
      <w:pPr>
        <w:pStyle w:val="FirstParagraph"/>
      </w:pPr>
      <w:r>
        <w:t xml:space="preserve">In these notes,</w:t>
      </w:r>
      <w:r>
        <w:t xml:space="preserve"> </w:t>
      </w:r>
      <w:r>
        <w:t xml:space="preserve">we standardize on 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via the macros defined in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: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\indic{A}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(set subscript)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\indicp{P}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parentheses)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\indiccb{P}</w:t>
      </w:r>
      <w:r>
        <w:t xml:space="preserve"> </w:t>
      </w:r>
      <w:r>
        <w:t xml:space="preserve">produces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(predicate in curly braces)</w:t>
      </w:r>
    </w:p>
    <w:p>
      <w:pPr>
        <w:pStyle w:val="Compact"/>
        <w:numPr>
          <w:ilvl w:val="0"/>
          <w:numId w:val="1033"/>
        </w:numPr>
      </w:pPr>
      <w:r>
        <w:rPr>
          <w:rStyle w:val="VerbatimChar"/>
        </w:rPr>
        <w:t xml:space="preserve">\1{P}</w:t>
      </w:r>
      <w:r>
        <w:t xml:space="preserve"> </w:t>
      </w:r>
      <w:r>
        <w:t xml:space="preserve">produces</w:t>
      </w:r>
      <w:r>
        <w:t xml:space="preserve"> </w:t>
      </w:r>
      <m:oMath>
        <m:sSub>
          <m:e>
            <m:r>
              <m:rPr>
                <m:nor/>
                <m:sty m:val="p"/>
              </m:rPr>
              <m:t>1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(text numeral with subscript, used in legacy formulas)</w:t>
      </w:r>
    </w:p>
    <w:p>
      <w:pPr>
        <w:pStyle w:val="FirstParagraph"/>
      </w:pPr>
      <w:r>
        <w:t xml:space="preserve">Blackboard bold</w:t>
      </w:r>
      <w:r>
        <w:t xml:space="preserve"> </w:t>
      </w:r>
      <m:oMath>
        <m:r>
          <m:rPr>
            <m:scr m:val="double-struck"/>
            <m:sty m:val="p"/>
          </m:rPr>
          <m:t>1</m:t>
        </m:r>
      </m:oMath>
      <w:r>
        <w:t xml:space="preserve"> </w:t>
      </w:r>
      <w:r>
        <w:t xml:space="preserve">is preferred because it avoids all common collisions:</w:t>
      </w:r>
      <w:r>
        <w:t xml:space="preserve"> </w:t>
      </w:r>
      <w:r>
        <w:t xml:space="preserve">it is visually distinct from the scalar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identity matrix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 observed and expected Fisher information matrices (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).</w:t>
      </w:r>
    </w:p>
    <w:bookmarkEnd w:id="107"/>
    <w:bookmarkStart w:id="117" w:name="key-algebraic-properties"/>
    <w:p>
      <w:pPr>
        <w:pStyle w:val="Heading3"/>
      </w:pPr>
      <w:r>
        <w:t xml:space="preserve">6.6 Key algebraic properties</w:t>
      </w:r>
    </w:p>
    <w:p>
      <w:pPr>
        <w:pStyle w:val="FirstParagraph"/>
      </w:pPr>
      <w:r>
        <w:t xml:space="preserve">Indicator functions translate the 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“or”</w:t>
      </w:r>
      <w:r>
        <w:t xml:space="preserve">, and</w:t>
      </w:r>
      <w:r>
        <w:t xml:space="preserve"> </w:t>
      </w:r>
      <w:r>
        <w:t xml:space="preserve">“not”</w:t>
      </w:r>
      <w:r>
        <w:t xml:space="preserve">, applied to set membership,</w:t>
      </w:r>
      <w:r>
        <w:t xml:space="preserve"> </w:t>
      </w:r>
      <w:r>
        <w:t xml:space="preserve">into ordinary arithmetic on real numbers.</w:t>
      </w:r>
      <w:r>
        <w:t xml:space="preserve"> </w:t>
      </w:r>
      <w:r>
        <w:t xml:space="preserve">One of the identities below uses idempotence:</w:t>
      </w:r>
    </w:p>
    <w:bookmarkStart w:id="109" w:name="def-idempotent"/>
    <w:p>
      <w:pPr>
        <w:pStyle w:val="BodyText"/>
      </w:pPr>
      <w:r>
        <w:rPr>
          <w:b/>
          <w:bCs/>
        </w:rPr>
        <w:t xml:space="preserve">Definition 28 (Idempotent)</w:t>
      </w:r>
      <w:r>
        <w:t xml:space="preserve"> </w:t>
      </w:r>
      <w:r>
        <w:t xml:space="preserve">A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⋅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real values 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its</w:t>
      </w:r>
      <w:r>
        <w:t xml:space="preserve"> </w:t>
      </w:r>
      <w:hyperlink r:id="rId108">
        <w:r>
          <w:rPr>
            <w:rStyle w:val="Hyperlink"/>
          </w:rPr>
          <w:t xml:space="preserve">domain</w:t>
        </w:r>
      </w:hyperlink>
      <w:r>
        <w:t xml:space="preserve">.</w:t>
      </w:r>
    </w:p>
    <w:bookmarkEnd w:id="109"/>
    <w:bookmarkStart w:id="111" w:name="exm-idempotent-indicator"/>
    <w:p>
      <w:pPr>
        <w:pStyle w:val="BodyText"/>
      </w:pPr>
      <w:r>
        <w:rPr>
          <w:b/>
          <w:bCs/>
        </w:rPr>
        <w:t xml:space="preserve">Example 27 (Idempotent numbers and indicators)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4"/>
        </w:numPr>
      </w:pP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idempotent: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r>
          <m:t>2</m:t>
        </m:r>
      </m:oMath>
      <w:r>
        <w:t xml:space="preserve"> </w:t>
      </w:r>
      <w:r>
        <w:t xml:space="preserve">is not idempotent: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w:r>
        <w:t xml:space="preserve">Every indicator function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idempotent,</w:t>
      </w:r>
      <w:r>
        <w:t xml:space="preserve"> </w:t>
      </w:r>
      <w:r>
        <w:t xml:space="preserve">because each of its values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3.5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110">
        <w:r>
          <w:rPr>
            <w:rStyle w:val="Hyperlink"/>
          </w:rPr>
          <w:t xml:space="preserve">idempotent matrices</w:t>
        </w:r>
      </w:hyperlink>
      <w:r>
        <w:t xml:space="preserve"> </w:t>
      </w:r>
      <w:r>
        <w:t xml:space="preserve">of linear algebra satisfy the same equation with matrix multiplication: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M</m:t>
        </m:r>
      </m:oMath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.</w:t>
      </w:r>
    </w:p>
    <w:bookmarkEnd w:id="111"/>
    <w:p>
      <w:pPr>
        <w:pStyle w:val="BodyText"/>
      </w:pPr>
      <w:r>
        <w:t xml:space="preserve">For subsets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12">
        <w:r>
          <w:rPr>
            <w:rStyle w:val="Hyperlink"/>
          </w:rPr>
          <w:t xml:space="preserve">complement</w:t>
        </w:r>
      </w:hyperlink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Ω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Ω</m:t>
        </m:r>
      </m:oMath>
      <w:r>
        <w:t xml:space="preserve">:</w:t>
      </w:r>
    </w:p>
    <w:p>
      <w:pPr>
        <w:numPr>
          <w:ilvl w:val="0"/>
          <w:numId w:val="1035"/>
        </w:numPr>
      </w:pPr>
      <w:r>
        <w:rPr>
          <w:b/>
          <w:bCs/>
        </w:rPr>
        <w:t xml:space="preserve">Intersection (</w:t>
      </w:r>
      <w:r>
        <w:rPr>
          <w:b/>
          <w:bCs/>
        </w:rPr>
        <w:t xml:space="preserve">“and”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∩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Union (</w:t>
      </w:r>
      <w:r>
        <w:rPr>
          <w:b/>
          <w:bCs/>
        </w:rPr>
        <w:t xml:space="preserve">“or”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  <m:r>
              <m:rPr>
                <m:sty m:val="p"/>
              </m:rPr>
              <m:t>∪</m:t>
            </m:r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Complement (</w:t>
      </w:r>
      <w:r>
        <w:rPr>
          <w:b/>
          <w:bCs/>
        </w:rPr>
        <w:t xml:space="preserve">“not”</w:t>
      </w:r>
      <w:r>
        <w:rPr>
          <w:b/>
          <w:bCs/>
        </w:rPr>
        <w:t xml:space="preserve">):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sSup>
              <m:e>
                <m:r>
                  <m:t>A</m:t>
                </m:r>
              </m:e>
              <m:sup>
                <m:r>
                  <m:t>c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Idempotence (</w:t>
      </w:r>
      <w:hyperlink w:anchor="def-idempotent">
        <w:r>
          <w:rPr>
            <w:rStyle w:val="Hyperlink"/>
            <w:b/>
            <w:bCs/>
          </w:rPr>
          <w:t xml:space="preserve">Definition 28</w:t>
        </w:r>
      </w:hyperlink>
      <w:r>
        <w:rPr>
          <w:b/>
          <w:bCs/>
        </w:rPr>
        <w:t xml:space="preserve">):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</w:p>
    <w:p>
      <w:pPr>
        <w:numPr>
          <w:ilvl w:val="0"/>
          <w:numId w:val="1035"/>
        </w:numPr>
      </w:pPr>
      <w:r>
        <w:rPr>
          <w:b/>
          <w:bCs/>
        </w:rPr>
        <w:t xml:space="preserve">Expectation gives probability: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a</w:t>
      </w:r>
      <w:r>
        <w:t xml:space="preserve"> </w:t>
      </w:r>
      <w:hyperlink r:id="rId113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</w:t>
      </w:r>
      <w:r>
        <w:t xml:space="preserve"> </w:t>
      </w:r>
      <w:hyperlink r:id="rId114">
        <w:r>
          <w:rPr>
            <w:rStyle w:val="Hyperlink"/>
          </w:rPr>
          <w:t xml:space="preserve">event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its indicator is the</w:t>
      </w:r>
      <w:r>
        <w:t xml:space="preserve"> </w:t>
      </w:r>
      <w:hyperlink r:id="rId11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the event</w:t>
      </w:r>
      <w:r>
        <w:t xml:space="preserve"> </w:t>
      </w:r>
      <w:r>
        <w:t xml:space="preserve">(all four terms are defined in the Morrison Lab’s probability notes):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p>
            <m:e>
              <m:r>
                <m:t>A</m:t>
              </m:r>
            </m:e>
            <m:sup>
              <m:r>
                <m:t>c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This</w:t>
      </w:r>
      <w:r>
        <w:t xml:space="preserve"> </w:t>
      </w:r>
      <w:hyperlink r:id="rId116">
        <w:r>
          <w:rPr>
            <w:rStyle w:val="Hyperlink"/>
          </w:rPr>
          <w:t xml:space="preserve">identity</w:t>
        </w:r>
      </w:hyperlink>
      <w:r>
        <w:t xml:space="preserve"> </w:t>
      </w:r>
      <w:r>
        <w:t xml:space="preserve">turns probabilities into expectations.</w:t>
      </w:r>
      <w:r>
        <w:t xml:space="preserve"> </w:t>
      </w:r>
      <w:r>
        <w:t xml:space="preserve">It is the mathematical foundation for:</w:t>
      </w:r>
    </w:p>
    <w:p>
      <w:pPr>
        <w:pStyle w:val="Compact"/>
        <w:numPr>
          <w:ilvl w:val="0"/>
          <w:numId w:val="1036"/>
        </w:numPr>
      </w:pPr>
      <w:r>
        <w:t xml:space="preserve">empirical proportions;</w:t>
      </w:r>
    </w:p>
    <w:p>
      <w:pPr>
        <w:pStyle w:val="Compact"/>
        <w:numPr>
          <w:ilvl w:val="0"/>
          <w:numId w:val="1036"/>
        </w:numPr>
      </w:pPr>
      <w:r>
        <w:t xml:space="preserve">estimators of survival curves,</w:t>
      </w:r>
      <w:r>
        <w:t xml:space="preserve"> </w:t>
      </w:r>
      <w:r>
        <w:t xml:space="preserve">the probability of no event by each time;</w:t>
      </w:r>
    </w:p>
    <w:p>
      <w:pPr>
        <w:pStyle w:val="Compact"/>
        <w:numPr>
          <w:ilvl w:val="0"/>
          <w:numId w:val="1036"/>
        </w:numPr>
      </w:pPr>
      <w:r>
        <w:t xml:space="preserve">regression models for binary outcomes.</w:t>
      </w:r>
    </w:p>
    <w:bookmarkEnd w:id="117"/>
    <w:bookmarkEnd w:id="118"/>
    <w:bookmarkStart w:id="137" w:name="sec-notational-shorthands"/>
    <w:p>
      <w:pPr>
        <w:pStyle w:val="Heading2"/>
      </w:pPr>
      <w:r>
        <w:t xml:space="preserve">7 Notational shorthands</w:t>
      </w:r>
    </w:p>
    <w:bookmarkStart w:id="121" w:name="def-lower-upper-limits"/>
    <w:p>
      <w:pPr>
        <w:pStyle w:val="FirstParagraph"/>
      </w:pPr>
      <w:r>
        <w:rPr>
          <w:b/>
          <w:bCs/>
        </w:rPr>
        <w:t xml:space="preserve">Definition 29 (Lower and upper limits of a sum or integral)</w:t>
      </w:r>
      <w:r>
        <w:t xml:space="preserve"> </w:t>
      </w:r>
      <w:r>
        <w:t xml:space="preserve">In a</w:t>
      </w:r>
      <w:r>
        <w:t xml:space="preserve"> </w:t>
      </w:r>
      <w:hyperlink r:id="rId119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its last value.</w:t>
      </w:r>
      <w:r>
        <w:t xml:space="preserve"> </w:t>
      </w:r>
      <w:r>
        <w:t xml:space="preserve">In an</w:t>
      </w:r>
      <w:r>
        <w:t xml:space="preserve"> </w:t>
      </w:r>
      <w:hyperlink r:id="rId120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 right end;</w:t>
      </w:r>
      <w:r>
        <w:t xml:space="preserve"> </w:t>
      </w:r>
      <w:r>
        <w:t xml:space="preserve">together they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  <w:r>
        <w:t xml:space="preserve"> </w:t>
      </w:r>
      <w:r>
        <w:t xml:space="preserve">In both, the lower limit is written below the symbol</w:t>
      </w:r>
      <w:r>
        <w:t xml:space="preserve"> </w:t>
      </w:r>
      <w:r>
        <w:t xml:space="preserve">and the upper limit above it.</w:t>
      </w:r>
    </w:p>
    <w:bookmarkEnd w:id="121"/>
    <w:bookmarkStart w:id="122" w:name="exm-lower-upper-limits"/>
    <w:p>
      <w:pPr>
        <w:pStyle w:val="BodyText"/>
      </w:pPr>
      <w:r>
        <w:rPr>
          <w:b/>
          <w:bCs/>
        </w:rPr>
        <w:t xml:space="preserve">Example 28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22"/>
    <w:bookmarkStart w:id="124" w:name="rem-limits-two-meanings"/>
    <w:p>
      <w:pPr>
        <w:pStyle w:val="FirstParagraph"/>
      </w:pPr>
      <w:r>
        <w:rPr>
          <w:i/>
          <w:iCs/>
        </w:rPr>
        <w:t xml:space="preserve">Remark 4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29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23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6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24"/>
    <w:bookmarkStart w:id="125" w:name="def-notational-shorthand"/>
    <w:p>
      <w:pPr>
        <w:pStyle w:val="BodyText"/>
      </w:pPr>
      <w:r>
        <w:rPr>
          <w:b/>
          <w:bCs/>
        </w:rPr>
        <w:t xml:space="preserve">Definition 30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  <w:r>
        <w:t xml:space="preserve"> </w:t>
      </w:r>
      <w:r>
        <w:t xml:space="preserve">The expression with every part written out is its</w:t>
      </w:r>
      <w:r>
        <w:t xml:space="preserve"> </w:t>
      </w:r>
      <w:r>
        <w:rPr>
          <w:b/>
          <w:bCs/>
        </w:rPr>
        <w:t xml:space="preserve">full form</w:t>
      </w:r>
      <w:r>
        <w:t xml:space="preserve">.</w:t>
      </w:r>
    </w:p>
    <w:bookmarkEnd w:id="1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38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28" w:name="def-range-of-variable"/>
    <w:p>
      <w:pPr>
        <w:pStyle w:val="FirstParagraph"/>
      </w:pPr>
      <w:r>
        <w:rPr>
          <w:b/>
          <w:bCs/>
        </w:rPr>
        <w:t xml:space="preserve">Definition 31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28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130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31">
        <w:r>
          <w:rPr>
            <w:rStyle w:val="Hyperlink"/>
          </w:rPr>
          <w:t xml:space="preserve">Image and 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2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r:id="rId132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r:id="rId119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33"/>
          <w:p/>
        </w:tc>
      </w:tr>
    </w:tbl>
    <w:bookmarkStart w:id="135" w:name="rem-indefinite-integral-not-shorthand"/>
    <w:p>
      <w:pPr>
        <w:pStyle w:val="BodyText"/>
      </w:pPr>
      <w:r>
        <w:rPr>
          <w:i/>
          <w:iCs/>
        </w:rPr>
        <w:t xml:space="preserve">Remark 5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3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35"/>
    <w:bookmarkStart w:id="136" w:name="exm-expand-index-shorthand"/>
    <w:p>
      <w:pPr>
        <w:pStyle w:val="BodyText"/>
      </w:pPr>
      <w:r>
        <w:rPr>
          <w:b/>
          <w:bCs/>
        </w:rPr>
        <w:t xml:space="preserve">Example 29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36"/>
    <w:bookmarkEnd w:id="137"/>
    <w:bookmarkStart w:id="144" w:name="X93a3d4ef5e06a67ae6b891e46b41b74b3674f55"/>
    <w:p>
      <w:pPr>
        <w:pStyle w:val="Heading2"/>
      </w:pPr>
      <w:r>
        <w:t xml:space="preserve">8 Why is notation in probability and statistics so inconsistent and disorganized?</w:t>
      </w:r>
    </w:p>
    <w:p>
      <w:pPr>
        <w:pStyle w:val="FirstParagraph"/>
      </w:pPr>
      <w:r>
        <w:t xml:space="preserve">In grad school,</w:t>
      </w:r>
      <w:r>
        <w:t xml:space="preserve"> </w:t>
      </w:r>
      <w:r>
        <w:t xml:space="preserve">we are asked to learn</w:t>
      </w:r>
      <w:r>
        <w:t xml:space="preserve"> </w:t>
      </w:r>
      <w:r>
        <w:t xml:space="preserve">from increasingly disorganized materials and lectures.</w:t>
      </w:r>
      <w:r>
        <w:t xml:space="preserve"> </w:t>
      </w:r>
      <w:r>
        <w:t xml:space="preserve">Not coincidentally,</w:t>
      </w:r>
      <w:r>
        <w:t xml:space="preserve"> </w:t>
      </w:r>
      <w:r>
        <w:t xml:space="preserve">as the amount of organization decreases,</w:t>
      </w:r>
      <w:r>
        <w:t xml:space="preserve"> </w:t>
      </w:r>
      <w:r>
        <w:t xml:space="preserve">the amount of complexity increases,</w:t>
      </w:r>
      <w:r>
        <w:t xml:space="preserve"> </w:t>
      </w:r>
      <w:r>
        <w:t xml:space="preserve">the amount of difficulty increases,</w:t>
      </w:r>
      <w:r>
        <w:t xml:space="preserve"> </w:t>
      </w:r>
      <w:r>
        <w:t xml:space="preserve">the number of reliable references decreases,</w:t>
      </w:r>
      <w:r>
        <w:t xml:space="preserve"> </w:t>
      </w:r>
      <w:r>
        <w:t xml:space="preserve">and the amount of inconsistency in notation and content increases</w:t>
      </w:r>
      <w:r>
        <w:t xml:space="preserve"> </w:t>
      </w:r>
      <w:r>
        <w:t xml:space="preserve">(both between multiple references and within single references!).</w:t>
      </w:r>
      <w:r>
        <w:t xml:space="preserve"> </w:t>
      </w:r>
      <w:r>
        <w:t xml:space="preserve">In other words,</w:t>
      </w:r>
      <w:r>
        <w:t xml:space="preserve"> </w:t>
      </w:r>
      <w:r>
        <w:t xml:space="preserve">as you approach the cutting-edge of most fields,</w:t>
      </w:r>
      <w:r>
        <w:t xml:space="preserve"> </w:t>
      </w:r>
      <w:r>
        <w:t xml:space="preserve">you start to run into content</w:t>
      </w:r>
      <w:r>
        <w:t xml:space="preserve"> </w:t>
      </w:r>
      <w:r>
        <w:t xml:space="preserve">that hasn’t been fully thought through or standardized.</w:t>
      </w:r>
      <w:r>
        <w:t xml:space="preserve"> </w:t>
      </w:r>
      <w:r>
        <w:t xml:space="preserve">This lack of clarity</w:t>
      </w:r>
      <w:r>
        <w:t xml:space="preserve"> </w:t>
      </w:r>
      <w:r>
        <w:t xml:space="preserve">is unfortunate and undesirable,</w:t>
      </w:r>
      <w:r>
        <w:t xml:space="preserve"> </w:t>
      </w:r>
      <w:r>
        <w:t xml:space="preserve">but it is understandable and inevitable.</w:t>
      </w:r>
    </w:p>
    <w:p>
      <w:pPr>
        <w:pStyle w:val="BodyText"/>
      </w:pPr>
      <w:r>
        <w:t xml:space="preserve">It’s worth noting</w:t>
      </w:r>
      <w:r>
        <w:t xml:space="preserve"> </w:t>
      </w:r>
      <w:r>
        <w:t xml:space="preserve">that calculus was formalized in the</w:t>
      </w:r>
      <w:r>
        <w:t xml:space="preserve"> </w:t>
      </w:r>
      <w:hyperlink r:id="rId138">
        <w:r>
          <w:rPr>
            <w:rStyle w:val="Hyperlink"/>
          </w:rPr>
          <w:t xml:space="preserve">1600s</w:t>
        </w:r>
      </w:hyperlink>
      <w:r>
        <w:t xml:space="preserve">,</w:t>
      </w:r>
      <w:r>
        <w:t xml:space="preserve"> </w:t>
      </w:r>
      <w:r>
        <w:t xml:space="preserve">elementary algebra was formalized around</w:t>
      </w:r>
      <w:r>
        <w:t xml:space="preserve"> </w:t>
      </w:r>
      <w:hyperlink r:id="rId139">
        <w:r>
          <w:rPr>
            <w:rStyle w:val="Hyperlink"/>
          </w:rPr>
          <w:t xml:space="preserve">820</w:t>
        </w:r>
      </w:hyperlink>
      <w:r>
        <w:t xml:space="preserve">,</w:t>
      </w:r>
      <w:r>
        <w:t xml:space="preserve"> </w:t>
      </w:r>
      <w:r>
        <w:t xml:space="preserve">and arithmetic</w:t>
      </w:r>
      <w:r>
        <w:t xml:space="preserve"> </w:t>
      </w:r>
      <w:hyperlink r:id="rId140">
        <w:r>
          <w:rPr>
            <w:rStyle w:val="Hyperlink"/>
          </w:rPr>
          <w:t xml:space="preserve">even earlier</w:t>
        </w:r>
      </w:hyperlink>
      <w:r>
        <w:t xml:space="preserve">.</w:t>
      </w:r>
      <w:r>
        <w:t xml:space="preserve"> </w:t>
      </w:r>
      <w:r>
        <w:t xml:space="preserve">And calculus still has</w:t>
      </w:r>
      <w:r>
        <w:t xml:space="preserve"> </w:t>
      </w:r>
      <w:hyperlink r:id="rId141">
        <w:r>
          <w:rPr>
            <w:rStyle w:val="Hyperlink"/>
          </w:rPr>
          <w:t xml:space="preserve">several competing notation systems</w:t>
        </w:r>
      </w:hyperlink>
      <w:r>
        <w:t xml:space="preserve">.</w:t>
      </w:r>
      <w:r>
        <w:t xml:space="preserve"> </w:t>
      </w:r>
      <w:r>
        <w:t xml:space="preserve">In contrast, the field of statistics only emerged in the</w:t>
      </w:r>
      <w:r>
        <w:t xml:space="preserve"> </w:t>
      </w:r>
      <w:hyperlink r:id="rId142">
        <w:r>
          <w:rPr>
            <w:rStyle w:val="Hyperlink"/>
          </w:rPr>
          <w:t xml:space="preserve">late 1800s and early 1900s</w:t>
        </w:r>
      </w:hyperlink>
      <w:r>
        <w:t xml:space="preserve">,</w:t>
      </w:r>
      <w:r>
        <w:t xml:space="preserve"> </w:t>
      </w:r>
      <w:r>
        <w:t xml:space="preserve">so it’s not surprising that the notation and terminology is still developing.</w:t>
      </w:r>
      <w:r>
        <w:t xml:space="preserve"> </w:t>
      </w:r>
      <w:r>
        <w:t xml:space="preserve">Generalized linear models were only formalized in 1972</w:t>
      </w:r>
      <w:r>
        <w:t xml:space="preserve"> </w:t>
      </w:r>
      <w:r>
        <w:t xml:space="preserve">(Nelder and Wedderburn 1972)</w:t>
      </w:r>
      <w:r>
        <w:t xml:space="preserve">,</w:t>
      </w:r>
      <w:r>
        <w:t xml:space="preserve"> </w:t>
      </w:r>
      <w:r>
        <w:t xml:space="preserve">which is very recent in terms of the</w:t>
      </w:r>
      <w:r>
        <w:t xml:space="preserve"> </w:t>
      </w:r>
      <w:hyperlink r:id="rId143">
        <w:r>
          <w:rPr>
            <w:rStyle w:val="Hyperlink"/>
          </w:rPr>
          <w:t xml:space="preserve">pace of scientific development</w:t>
        </w:r>
      </w:hyperlink>
      <w:r>
        <w:t xml:space="preserve">.</w:t>
      </w:r>
    </w:p>
    <w:bookmarkEnd w:id="144"/>
    <w:bookmarkStart w:id="146" w:name="sec-further-reading"/>
    <w:p>
      <w:pPr>
        <w:pStyle w:val="Heading2"/>
      </w:pPr>
      <w:r>
        <w:t xml:space="preserve">9 Further reading</w:t>
      </w:r>
    </w:p>
    <w:p>
      <w:pPr>
        <w:pStyle w:val="FirstParagraph"/>
      </w:pPr>
      <w:r>
        <w:t xml:space="preserve">For the logical symbols and proof conventions used in these notes:</w:t>
      </w:r>
    </w:p>
    <w:p>
      <w:pPr>
        <w:pStyle w:val="Compact"/>
        <w:numPr>
          <w:ilvl w:val="0"/>
          <w:numId w:val="1039"/>
        </w:numPr>
      </w:pPr>
      <w:r>
        <w:t xml:space="preserve">Velleman (2019)</w:t>
      </w:r>
      <w:r>
        <w:t xml:space="preserve"> </w:t>
      </w:r>
      <w:r>
        <w:t xml:space="preserve">explains how mathematical statements are built from</w:t>
      </w:r>
      <w:r>
        <w:t xml:space="preserve"> </w:t>
      </w:r>
      <w:r>
        <w:t xml:space="preserve">logical connectives (</w:t>
      </w:r>
      <w:hyperlink w:anchor="def-logical-connective">
        <w:r>
          <w:rPr>
            <w:rStyle w:val="Hyperlink"/>
          </w:rPr>
          <w:t xml:space="preserve">Definition 11</w:t>
        </w:r>
      </w:hyperlink>
      <w:r>
        <w:t xml:space="preserve">) and quantifiers (</w:t>
      </w:r>
      <w:hyperlink w:anchor="def-quantifier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and how to read and write them.</w:t>
      </w:r>
    </w:p>
    <w:p>
      <w:pPr>
        <w:pStyle w:val="Compact"/>
        <w:numPr>
          <w:ilvl w:val="0"/>
          <w:numId w:val="1039"/>
        </w:numPr>
      </w:pPr>
      <w:r>
        <w:t xml:space="preserve">Barker-Plummer et al. (2011)</w:t>
      </w:r>
      <w:r>
        <w:t xml:space="preserve"> </w:t>
      </w:r>
      <w:r>
        <w:t xml:space="preserve">covers the same symbols as a formal language,</w:t>
      </w:r>
      <w:r>
        <w:t xml:space="preserve"> </w:t>
      </w:r>
      <w:r>
        <w:t xml:space="preserve">with propositional logic (the logic of connectives)</w:t>
      </w:r>
      <w:r>
        <w:t xml:space="preserve"> </w:t>
      </w:r>
      <w:r>
        <w:t xml:space="preserve">and first-order logic (which adds quantifiers).</w:t>
      </w:r>
    </w:p>
    <w:p>
      <w:pPr>
        <w:pStyle w:val="FirstParagraph"/>
      </w:pPr>
      <w:r>
        <w:t xml:space="preserve">For set and function notation, see the</w:t>
      </w:r>
      <w:r>
        <w:t xml:space="preserve"> </w:t>
      </w:r>
      <w:hyperlink r:id="rId145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page.</w:t>
      </w:r>
    </w:p>
    <w:bookmarkEnd w:id="146"/>
    <w:bookmarkStart w:id="155" w:name="references"/>
    <w:p>
      <w:pPr>
        <w:pStyle w:val="Heading2"/>
      </w:pPr>
      <w:r>
        <w:t xml:space="preserve">References</w:t>
      </w:r>
    </w:p>
    <w:bookmarkStart w:id="154" w:name="refs"/>
    <w:bookmarkStart w:id="148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147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148"/>
    <w:bookmarkStart w:id="150" w:name="ref-nelder1972generalized"/>
    <w:p>
      <w:pPr>
        <w:pStyle w:val="Bibliography"/>
      </w:pPr>
      <w:r>
        <w:t xml:space="preserve">Nelder, John Ashworth, and Robert WM Wedderburn. 1972.</w:t>
      </w:r>
      <w:r>
        <w:t xml:space="preserve"> </w:t>
      </w:r>
      <w:r>
        <w:t xml:space="preserve">“Generalized Linear Models.”</w:t>
      </w:r>
      <w:r>
        <w:t xml:space="preserve"> </w:t>
      </w:r>
      <w:r>
        <w:rPr>
          <w:i/>
          <w:iCs/>
        </w:rPr>
        <w:t xml:space="preserve">Journal of the Royal Statistical Society Series A: Statistics in Society</w:t>
      </w:r>
      <w:r>
        <w:t xml:space="preserve"> </w:t>
      </w:r>
      <w:r>
        <w:t xml:space="preserve">135 (3): 370–84.</w:t>
      </w:r>
      <w:r>
        <w:t xml:space="preserve"> </w:t>
      </w:r>
      <w:hyperlink r:id="rId149">
        <w:r>
          <w:rPr>
            <w:rStyle w:val="Hyperlink"/>
          </w:rPr>
          <w:t xml:space="preserve">https://doi.org/10.2307/2344614</w:t>
        </w:r>
      </w:hyperlink>
      <w:r>
        <w:t xml:space="preserve">.</w:t>
      </w:r>
    </w:p>
    <w:bookmarkEnd w:id="150"/>
    <w:bookmarkStart w:id="151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51"/>
    <w:bookmarkStart w:id="153" w:name="ref-velleman2019prove"/>
    <w:p>
      <w:pPr>
        <w:pStyle w:val="Bibliography"/>
      </w:pPr>
      <w:r>
        <w:t xml:space="preserve">Velleman, Daniel J. 2019.</w:t>
      </w:r>
      <w:r>
        <w:t xml:space="preserve"> </w:t>
      </w:r>
      <w:r>
        <w:rPr>
          <w:i/>
          <w:iCs/>
        </w:rPr>
        <w:t xml:space="preserve">How to Prove It: A Structured Approach</w:t>
      </w:r>
      <w:r>
        <w:t xml:space="preserve">. 3rd ed. Cambridge University Press.</w:t>
      </w:r>
      <w:r>
        <w:t xml:space="preserve"> </w:t>
      </w:r>
      <w:hyperlink r:id="rId152">
        <w:r>
          <w:rPr>
            <w:rStyle w:val="Hyperlink"/>
          </w:rPr>
          <w:t xml:space="preserve">https://doi.org/10.1017/9781108539890</w:t>
        </w:r>
      </w:hyperlink>
      <w:r>
        <w:t xml:space="preserve">.</w:t>
      </w:r>
    </w:p>
    <w:bookmarkEnd w:id="153"/>
    <w:bookmarkEnd w:id="154"/>
    <w:bookmarkEnd w:id="1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depending on whether it is applied to a matrix or a function</w:t>
      </w:r>
    </w:p>
  </w:footnote>
  <w:footnote w:id="1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A generalized linear model (GLM) is a regression model</w:t>
      </w:r>
      <w:r>
        <w:t xml:space="preserve"> </w:t>
      </w:r>
      <w:r>
        <w:t xml:space="preserve">in which a chosen function</w:t>
      </w:r>
      <w:r>
        <w:t xml:space="preserve"> </w:t>
      </w:r>
      <m:oMath>
        <m:r>
          <m:t>g</m:t>
        </m:r>
      </m:oMath>
      <w:r>
        <w:t xml:space="preserve">, the link function,</w:t>
      </w:r>
      <w:r>
        <w:t xml:space="preserve"> </w:t>
      </w:r>
      <w:r>
        <w:t xml:space="preserve">of the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outcome</w:t>
      </w:r>
      <w:r>
        <w:t xml:space="preserve"> </w:t>
      </w:r>
      <w:r>
        <w:t xml:space="preserve">equals the linear predictor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β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linear combination</w:t>
        </w:r>
      </w:hyperlink>
      <w:r>
        <w:t xml:space="preserve"> </w:t>
      </w:r>
      <w:r>
        <w:t xml:space="preserve">of the predictor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coefficients</w:t>
      </w:r>
      <w:r>
        <w:t xml:space="preserve"> </w:t>
      </w:r>
      <m:oMath>
        <m:r>
          <m:t>β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η</m:t>
        </m:r>
      </m:oMath>
      <w:r>
        <w:t xml:space="preserve">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5" Target="algebra.qmd#def-distributive" TargetMode="External" /><Relationship Type="http://schemas.openxmlformats.org/officeDocument/2006/relationships/hyperlink" Id="rId116" Target="algebra.qmd#def-identity" TargetMode="External" /><Relationship Type="http://schemas.openxmlformats.org/officeDocument/2006/relationships/hyperlink" Id="rId63" Target="algebra.qmd#def-sequence-limit" TargetMode="External" /><Relationship Type="http://schemas.openxmlformats.org/officeDocument/2006/relationships/hyperlink" Id="rId42" Target="algebra.qmd#def-square-root" TargetMode="External" /><Relationship Type="http://schemas.openxmlformats.org/officeDocument/2006/relationships/hyperlink" Id="rId132" Target="algebra.qmd#def-sum-over-set" TargetMode="External" /><Relationship Type="http://schemas.openxmlformats.org/officeDocument/2006/relationships/hyperlink" Id="rId119" Target="algebra.qmd#def-summation" TargetMode="External" /><Relationship Type="http://schemas.openxmlformats.org/officeDocument/2006/relationships/hyperlink" Id="rId10" Target="algebra.qmd#sec-summation" TargetMode="External" /><Relationship Type="http://schemas.openxmlformats.org/officeDocument/2006/relationships/hyperlink" Id="rId68" Target="algebra.qmd#thm-square-of-a-sum" TargetMode="External" /><Relationship Type="http://schemas.openxmlformats.org/officeDocument/2006/relationships/hyperlink" Id="rId13" Target="calculus.qmd#def-derivative" TargetMode="External" /><Relationship Type="http://schemas.openxmlformats.org/officeDocument/2006/relationships/hyperlink" Id="rId134" Target="calculus.qmd#def-indefinite-integral" TargetMode="External" /><Relationship Type="http://schemas.openxmlformats.org/officeDocument/2006/relationships/hyperlink" Id="rId123" Target="calculus.qmd#def-limit" TargetMode="External" /><Relationship Type="http://schemas.openxmlformats.org/officeDocument/2006/relationships/hyperlink" Id="rId120" Target="calculus.qmd#def-riemann-integral" TargetMode="External" /><Relationship Type="http://schemas.openxmlformats.org/officeDocument/2006/relationships/hyperlink" Id="rId152" Target="https://doi.org/10.1017/9781108539890" TargetMode="External" /><Relationship Type="http://schemas.openxmlformats.org/officeDocument/2006/relationships/hyperlink" Id="rId149" Target="https://doi.org/10.2307/2344614" TargetMode="External" /><Relationship Type="http://schemas.openxmlformats.org/officeDocument/2006/relationships/hyperlink" Id="rId34" Target="https://en.wikipedia.org/w/index.php?title=Natural_number&amp;oldid=1375965996" TargetMode="External" /><Relationship Type="http://schemas.openxmlformats.org/officeDocument/2006/relationships/hyperlink" Id="rId139" Target="https://en.wikipedia.org/wiki/Al-Jabr" TargetMode="External" /><Relationship Type="http://schemas.openxmlformats.org/officeDocument/2006/relationships/hyperlink" Id="rId140" Target="https://en.wikipedia.org/wiki/Arithmetic#History" TargetMode="External" /><Relationship Type="http://schemas.openxmlformats.org/officeDocument/2006/relationships/hyperlink" Id="rId16" Target="https://en.wikipedia.org/wiki/Generalized_linear_model#:~:text=The%20linear%20predictor%20is%20the,data%20through%20the%20link%20function" TargetMode="External" /><Relationship Type="http://schemas.openxmlformats.org/officeDocument/2006/relationships/hyperlink" Id="rId142" Target="https://en.wikipedia.org/wiki/History_of_statistics#Development_of_modern_statistics" TargetMode="External" /><Relationship Type="http://schemas.openxmlformats.org/officeDocument/2006/relationships/hyperlink" Id="rId94" Target="https://en.wikipedia.org/wiki/Iverson_bracket" TargetMode="External" /><Relationship Type="http://schemas.openxmlformats.org/officeDocument/2006/relationships/hyperlink" Id="rId138" Target="https://en.wikipedia.org/wiki/Leibniz%27s_notation" TargetMode="External" /><Relationship Type="http://schemas.openxmlformats.org/officeDocument/2006/relationships/hyperlink" Id="rId141" Target="https://en.wikipedia.org/wiki/Notation_for_differentiation" TargetMode="External" /><Relationship Type="http://schemas.openxmlformats.org/officeDocument/2006/relationships/hyperlink" Id="rId47" Target="https://en.wikipedia.org/wiki/Percentage" TargetMode="External" /><Relationship Type="http://schemas.openxmlformats.org/officeDocument/2006/relationships/hyperlink" Id="rId44" Target="https://en.wikipedia.org/wiki/Proof_that_%CF%80_is_irrational" TargetMode="External" /><Relationship Type="http://schemas.openxmlformats.org/officeDocument/2006/relationships/hyperlink" Id="rId43" Target="https://en.wikipedia.org/wiki/Square_root_of_2" TargetMode="External" /><Relationship Type="http://schemas.openxmlformats.org/officeDocument/2006/relationships/hyperlink" Id="rId143" Target="https://en.wikipedia.org/wiki/The_Structure_of_Scientific_Revolutions" TargetMode="External" /><Relationship Type="http://schemas.openxmlformats.org/officeDocument/2006/relationships/hyperlink" Id="rId103" Target="https://morrison-lab.github.io/pds/expectation.html#def-cond-expectation" TargetMode="External" /><Relationship Type="http://schemas.openxmlformats.org/officeDocument/2006/relationships/hyperlink" Id="rId12" Target="https://morrison-lab.github.io/pds/expectation.html#def-expectation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9" Target="https://morrison-lab.github.io/pds/probability-basics.html#def-conditional-prob" TargetMode="External" /><Relationship Type="http://schemas.openxmlformats.org/officeDocument/2006/relationships/hyperlink" Id="rId114" Target="https://morrison-lab.github.io/pds/probability-basics.html#def-event" TargetMode="External" /><Relationship Type="http://schemas.openxmlformats.org/officeDocument/2006/relationships/hyperlink" Id="rId115" Target="https://morrison-lab.github.io/pds/probability-basics.html#def-probability" TargetMode="External" /><Relationship Type="http://schemas.openxmlformats.org/officeDocument/2006/relationships/hyperlink" Id="rId113" Target="https://morrison-lab.github.io/pds/probability-basics.html#def-sample-space" TargetMode="External" /><Relationship Type="http://schemas.openxmlformats.org/officeDocument/2006/relationships/hyperlink" Id="rId11" Target="https://morrison-lab.github.io/pds/random-variables.html#def-random-variable" TargetMode="External" /><Relationship Type="http://schemas.openxmlformats.org/officeDocument/2006/relationships/hyperlink" Id="rId20" Target="https://quarto.org/docs/authoring/markdown-basics.html#equations" TargetMode="External" /><Relationship Type="http://schemas.openxmlformats.org/officeDocument/2006/relationships/hyperlink" Id="rId147" Target="https://www.amazon.com/dp/1575866323" TargetMode="External" /><Relationship Type="http://schemas.openxmlformats.org/officeDocument/2006/relationships/hyperlink" Id="rId110" Target="linear-algebra.qmd#def-idempotent-matrix" TargetMode="External" /><Relationship Type="http://schemas.openxmlformats.org/officeDocument/2006/relationships/hyperlink" Id="rId18" Target="linear-algebra.qmd#def-linear-combination" TargetMode="External" /><Relationship Type="http://schemas.openxmlformats.org/officeDocument/2006/relationships/hyperlink" Id="rId145" Target="sets-functions.qmd" TargetMode="External" /><Relationship Type="http://schemas.openxmlformats.org/officeDocument/2006/relationships/hyperlink" Id="rId112" Target="sets-functions.qmd#def-complement" TargetMode="External" /><Relationship Type="http://schemas.openxmlformats.org/officeDocument/2006/relationships/hyperlink" Id="rId108" Target="sets-functions.qmd#def-domain" TargetMode="External" /><Relationship Type="http://schemas.openxmlformats.org/officeDocument/2006/relationships/hyperlink" Id="rId101" Target="sets-functions.qmd#def-finite-set" TargetMode="External" /><Relationship Type="http://schemas.openxmlformats.org/officeDocument/2006/relationships/hyperlink" Id="rId129" Target="sets-functions.qmd#def-function" TargetMode="External" /><Relationship Type="http://schemas.openxmlformats.org/officeDocument/2006/relationships/hyperlink" Id="rId130" Target="sets-functions.qmd#def-image" TargetMode="External" /><Relationship Type="http://schemas.openxmlformats.org/officeDocument/2006/relationships/hyperlink" Id="rId102" Target="sets-functions.qmd#def-interval" TargetMode="External" /><Relationship Type="http://schemas.openxmlformats.org/officeDocument/2006/relationships/hyperlink" Id="rId131" Target="sets-functions.qmd#rem-image-rang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2026-10-07T00:20:01Z</dcterms:created>
  <dcterms:modified xsi:type="dcterms:W3CDTF">2026-10-07T00:20:01Z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17:09:33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