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2026-10-03 01:28:45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8" w:name="sec-min-max"/>
    <w:p>
      <w:pPr>
        <w:pStyle w:val="Heading2"/>
      </w:pPr>
      <w:r>
        <w:t xml:space="preserve">3 Minimum, maximum, argmin and argmax</w:t>
      </w:r>
    </w:p>
    <w:bookmarkStart w:id="1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1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18"/>
    <w:bookmarkStart w:id="1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02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19"/>
    <w:bookmarkStart w:id="20" w:name="def-minimum"/>
    <w:p>
      <w:pPr>
        <w:pStyle w:val="FirstParagraph"/>
      </w:pPr>
      <w:r>
        <w:rPr>
          <w:b/>
          <w:bCs/>
        </w:rPr>
        <w:t xml:space="preserve">Definition 1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"/>
    <w:bookmarkStart w:id="2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21"/>
    <w:bookmarkStart w:id="22" w:name="def-maximum"/>
    <w:p>
      <w:pPr>
        <w:pStyle w:val="BodyText"/>
      </w:pPr>
      <w:r>
        <w:rPr>
          <w:b/>
          <w:bCs/>
        </w:rPr>
        <w:t xml:space="preserve">Definition 2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2"/>
    <w:bookmarkStart w:id="24" w:name="def-argmin"/>
    <w:p>
      <w:pPr>
        <w:pStyle w:val="BodyText"/>
      </w:pPr>
      <w:r>
        <w:rPr>
          <w:b/>
          <w:bCs/>
        </w:rPr>
        <w:t xml:space="preserve">Definition 3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6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2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6"/>
    <w:bookmarkStart w:id="27" w:name="def-argmax"/>
    <w:p>
      <w:pPr>
        <w:pStyle w:val="BodyText"/>
      </w:pPr>
      <w:r>
        <w:rPr>
          <w:b/>
          <w:bCs/>
        </w:rPr>
        <w:t xml:space="preserve">Definition 4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End w:id="28"/>
    <w:bookmarkStart w:id="36" w:name="sec-minimizers"/>
    <w:p>
      <w:pPr>
        <w:pStyle w:val="Heading2"/>
      </w:pPr>
      <w:r>
        <w:t xml:space="preserve">4 Global and local minimizers</w:t>
      </w:r>
    </w:p>
    <w:bookmarkStart w:id="29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29"/>
    <w:bookmarkStart w:id="30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def-global-minimizer"/>
    <w:p>
      <w:pPr>
        <w:pStyle w:val="FirstParagraph"/>
      </w:pPr>
      <w:r>
        <w:rPr>
          <w:b/>
          <w:bCs/>
        </w:rPr>
        <w:t xml:space="preserve">Definition 5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1"/>
    <w:bookmarkStart w:id="32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32"/>
    <w:bookmarkStart w:id="34" w:name="def-local-minimizer"/>
    <w:p>
      <w:pPr>
        <w:pStyle w:val="BodyText"/>
      </w:pPr>
      <w:r>
        <w:rPr>
          <w:b/>
          <w:bCs/>
        </w:rPr>
        <w:t xml:space="preserve">Definition 6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34"/>
    <w:bookmarkStart w:id="35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 converse 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35"/>
    <w:bookmarkEnd w:id="36"/>
    <w:bookmarkStart w:id="44" w:name="sec-convexity"/>
    <w:p>
      <w:pPr>
        <w:pStyle w:val="Heading2"/>
      </w:pPr>
      <w:r>
        <w:t xml:space="preserve">5 Convex functions</w:t>
      </w:r>
    </w:p>
    <w:bookmarkStart w:id="37" w:name="exr-convex-chord"/>
    <w:p>
      <w:pPr>
        <w:pStyle w:val="FirstParagraph"/>
      </w:pPr>
      <w:r>
        <w:rPr>
          <w:b/>
          <w:bCs/>
        </w:rPr>
        <w:t xml:space="preserve">Exercise 3 (A chord above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37"/>
    <w:bookmarkStart w:id="38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38"/>
    <w:bookmarkStart w:id="39" w:name="def-convex-function"/>
    <w:p>
      <w:pPr>
        <w:pStyle w:val="FirstParagraph"/>
      </w:pPr>
      <w:r>
        <w:rPr>
          <w:b/>
          <w:bCs/>
        </w:rPr>
        <w:t xml:space="preserve">Definition 7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39"/>
    <w:bookmarkStart w:id="40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of the chord joining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above that point.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 graph.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40"/>
    <w:bookmarkStart w:id="41" w:name="exm-cubic-not-convex"/>
    <w:p>
      <w:pPr>
        <w:pStyle w:val="BodyText"/>
      </w:pPr>
      <w:r>
        <w:rPr>
          <w:b/>
          <w:bCs/>
        </w:rPr>
        <w:t xml:space="preserve">Example 1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41"/>
    <w:bookmarkStart w:id="42" w:name="exm-convex-local-global"/>
    <w:p>
      <w:pPr>
        <w:pStyle w:val="BodyText"/>
      </w:pPr>
      <w:r>
        <w:rPr>
          <w:b/>
          <w:bCs/>
        </w:rPr>
        <w:t xml:space="preserve">Example 2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42"/>
    <w:bookmarkStart w:id="43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44"/>
    <w:bookmarkStart w:id="51" w:name="infimum-and-supremum"/>
    <w:p>
      <w:pPr>
        <w:pStyle w:val="Heading2"/>
      </w:pPr>
      <w:r>
        <w:t xml:space="preserve">6 Infimum and supremum</w:t>
      </w:r>
    </w:p>
    <w:bookmarkStart w:id="45" w:name="def-infimum"/>
    <w:p>
      <w:pPr>
        <w:pStyle w:val="FirstParagraph"/>
      </w:pPr>
      <w:r>
        <w:rPr>
          <w:b/>
          <w:bCs/>
        </w:rPr>
        <w:t xml:space="preserve">Definition 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5"/>
    <w:bookmarkStart w:id="46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6"/>
    <w:bookmarkStart w:id="47" w:name="exm-infimum"/>
    <w:p>
      <w:pPr>
        <w:pStyle w:val="BodyText"/>
      </w:pPr>
      <w:r>
        <w:rPr>
          <w:b/>
          <w:bCs/>
        </w:rPr>
        <w:t xml:space="preserve">Example 3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7"/>
    <w:bookmarkStart w:id="48" w:name="def-supremum"/>
    <w:p>
      <w:pPr>
        <w:pStyle w:val="FirstParagraph"/>
      </w:pPr>
      <w:r>
        <w:rPr>
          <w:b/>
          <w:bCs/>
        </w:rPr>
        <w:t xml:space="preserve">Definition 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8"/>
    <w:bookmarkStart w:id="49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9"/>
    <w:bookmarkStart w:id="50" w:name="exm-supremum"/>
    <w:p>
      <w:pPr>
        <w:pStyle w:val="BodyText"/>
      </w:pPr>
      <w:r>
        <w:rPr>
          <w:b/>
          <w:bCs/>
        </w:rPr>
        <w:t xml:space="preserve">Example 4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50"/>
    <w:bookmarkEnd w:id="51"/>
    <w:bookmarkStart w:id="56" w:name="sums"/>
    <w:p>
      <w:pPr>
        <w:pStyle w:val="Heading2"/>
      </w:pPr>
      <w:r>
        <w:t xml:space="preserve">7 Sums</w:t>
      </w:r>
    </w:p>
    <w:bookmarkStart w:id="52" w:name="thm-add-ident"/>
    <w:p>
      <w:pPr>
        <w:pStyle w:val="FirstParagraph"/>
      </w:pPr>
      <w:r>
        <w:rPr>
          <w:b/>
          <w:bCs/>
        </w:rPr>
        <w:t xml:space="preserve">Theorem 8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2"/>
    <w:bookmarkStart w:id="53" w:name="thm-sum-symmetric"/>
    <w:p>
      <w:pPr>
        <w:pStyle w:val="FirstParagraph"/>
      </w:pPr>
      <w:r>
        <w:rPr>
          <w:b/>
          <w:bCs/>
        </w:rPr>
        <w:t xml:space="preserve">Theorem 9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3"/>
    <w:bookmarkStart w:id="54" w:name="thm-sum-assoc"/>
    <w:p>
      <w:pPr>
        <w:pStyle w:val="FirstParagraph"/>
      </w:pPr>
      <w:r>
        <w:rPr>
          <w:b/>
          <w:bCs/>
        </w:rPr>
        <w:t xml:space="preserve">Theorem 10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sum-assoc"/>
    <w:p>
      <w:pPr>
        <w:pStyle w:val="FirstParagraph"/>
      </w:pPr>
      <w:r>
        <w:rPr>
          <w:b/>
          <w:bCs/>
        </w:rPr>
        <w:t xml:space="preserve">Example 5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55"/>
    <w:bookmarkEnd w:id="56"/>
    <w:bookmarkStart w:id="60" w:name="products"/>
    <w:p>
      <w:pPr>
        <w:pStyle w:val="Heading2"/>
      </w:pPr>
      <w:r>
        <w:t xml:space="preserve">8 Products</w:t>
      </w:r>
    </w:p>
    <w:bookmarkStart w:id="57" w:name="thm-mult-one"/>
    <w:p>
      <w:pPr>
        <w:pStyle w:val="FirstParagraph"/>
      </w:pPr>
      <w:r>
        <w:rPr>
          <w:b/>
          <w:bCs/>
        </w:rPr>
        <w:t xml:space="preserve">Theorem 11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7"/>
    <w:bookmarkStart w:id="58" w:name="thm-prod-symmetric"/>
    <w:p>
      <w:pPr>
        <w:pStyle w:val="FirstParagraph"/>
      </w:pPr>
      <w:r>
        <w:rPr>
          <w:b/>
          <w:bCs/>
        </w:rPr>
        <w:t xml:space="preserve">Theorem 12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58"/>
    <w:bookmarkStart w:id="59" w:name="thm-prod-assoc"/>
    <w:p>
      <w:pPr>
        <w:pStyle w:val="FirstParagraph"/>
      </w:pPr>
      <w:r>
        <w:rPr>
          <w:b/>
          <w:bCs/>
        </w:rPr>
        <w:t xml:space="preserve">Theorem 13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9"/>
    <w:bookmarkEnd w:id="60"/>
    <w:bookmarkStart w:id="62" w:name="division"/>
    <w:p>
      <w:pPr>
        <w:pStyle w:val="Heading2"/>
      </w:pPr>
      <w:r>
        <w:t xml:space="preserve">9 Division</w:t>
      </w:r>
    </w:p>
    <w:bookmarkStart w:id="61" w:name="thm-prod-div"/>
    <w:p>
      <w:pPr>
        <w:pStyle w:val="FirstParagraph"/>
      </w:pPr>
      <w:r>
        <w:rPr>
          <w:b/>
          <w:bCs/>
        </w:rPr>
        <w:t xml:space="preserve">Theorem 14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1"/>
    <w:bookmarkEnd w:id="62"/>
    <w:bookmarkStart w:id="68" w:name="sums-and-products-together"/>
    <w:p>
      <w:pPr>
        <w:pStyle w:val="Heading2"/>
      </w:pPr>
      <w:r>
        <w:t xml:space="preserve">10 Sums and products together</w:t>
      </w:r>
    </w:p>
    <w:bookmarkStart w:id="63" w:name="thm-mult-distr"/>
    <w:p>
      <w:pPr>
        <w:pStyle w:val="FirstParagraph"/>
      </w:pPr>
      <w:r>
        <w:rPr>
          <w:b/>
          <w:bCs/>
        </w:rPr>
        <w:t xml:space="preserve">Theorem 15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63"/>
    <w:bookmarkStart w:id="64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64"/>
    <w:bookmarkStart w:id="65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drop the parentheses.</w:t>
      </w:r>
    </w:p>
    <w:bookmarkEnd w:id="65"/>
    <w:bookmarkStart w:id="66" w:name="thm-square-of-a-sum"/>
    <w:p>
      <w:pPr>
        <w:pStyle w:val="BodyText"/>
      </w:pPr>
      <w:r>
        <w:rPr>
          <w:b/>
          <w:bCs/>
        </w:rPr>
        <w:t xml:space="preserve">Theorem 16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7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Squared errors such 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expanded this way.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7"/>
    <w:bookmarkEnd w:id="68"/>
    <w:bookmarkStart w:id="84" w:name="sec-summation"/>
    <w:p>
      <w:pPr>
        <w:pStyle w:val="Heading2"/>
      </w:pPr>
      <w:r>
        <w:t xml:space="preserve">11 Summation notation</w:t>
      </w:r>
    </w:p>
    <w:bookmarkStart w:id="69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09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69"/>
    <w:bookmarkStart w:id="70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70"/>
    <w:bookmarkStart w:id="71" w:name="def-summation"/>
    <w:p>
      <w:pPr>
        <w:pStyle w:val="FirstParagraph"/>
      </w:pPr>
      <w:r>
        <w:rPr>
          <w:b/>
          <w:bCs/>
        </w:rPr>
        <w:t xml:space="preserve">Definition 10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71"/>
    <w:bookmarkStart w:id="72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72"/>
    <w:bookmarkStart w:id="73" w:name="def-empty-sum"/>
    <w:p>
      <w:pPr>
        <w:pStyle w:val="BodyText"/>
      </w:pPr>
      <w:r>
        <w:rPr>
          <w:b/>
          <w:bCs/>
        </w:rPr>
        <w:t xml:space="preserve">Definition 11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74"/>
    <w:bookmarkStart w:id="75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75"/>
    <w:bookmarkStart w:id="76" w:name="thm-sum-constant-factor"/>
    <w:p>
      <w:pPr>
        <w:pStyle w:val="BodyText"/>
      </w:pPr>
      <w:r>
        <w:rPr>
          <w:b/>
          <w:bCs/>
        </w:rPr>
        <w:t xml:space="preserve">Theorem 17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77" w:name="thm-sum-of-sums"/>
    <w:p>
      <w:pPr>
        <w:pStyle w:val="BodyText"/>
      </w:pPr>
      <w:r>
        <w:rPr>
          <w:b/>
          <w:bCs/>
        </w:rPr>
        <w:t xml:space="preserve">Theorem 18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78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3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78"/>
    <w:bookmarkStart w:id="79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79"/>
    <w:bookmarkStart w:id="81" w:name="def-sum-over-set"/>
    <w:p>
      <w:pPr>
        <w:pStyle w:val="FirstParagraph"/>
      </w:pPr>
      <w:r>
        <w:rPr>
          <w:b/>
          <w:bCs/>
        </w:rPr>
        <w:t xml:space="preserve">Definition 12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 finite</w:t>
      </w:r>
      <w:r>
        <w:t xml:space="preserve"> </w:t>
      </w:r>
      <w:hyperlink r:id="rId8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bookmarkStart w:id="82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82"/>
    <w:bookmarkStart w:id="83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full.</w:t>
      </w:r>
    </w:p>
    <w:bookmarkEnd w:id="83"/>
    <w:bookmarkEnd w:id="84"/>
    <w:bookmarkStart w:id="98" w:name="quotients"/>
    <w:p>
      <w:pPr>
        <w:pStyle w:val="Heading2"/>
      </w:pPr>
      <w:r>
        <w:t xml:space="preserve">12 Quotients</w:t>
      </w:r>
    </w:p>
    <w:bookmarkStart w:id="85" w:name="def-quotient"/>
    <w:p>
      <w:pPr>
        <w:pStyle w:val="FirstParagraph"/>
      </w:pPr>
      <w:r>
        <w:rPr>
          <w:b/>
          <w:bCs/>
        </w:rPr>
        <w:t xml:space="preserve">Definition 13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85"/>
    <w:bookmarkStart w:id="86" w:name="def-fraction"/>
    <w:p>
      <w:pPr>
        <w:pStyle w:val="FirstParagraph"/>
      </w:pPr>
      <w:r>
        <w:rPr>
          <w:b/>
          <w:bCs/>
        </w:rPr>
        <w:t xml:space="preserve">Definition 14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86"/>
    <w:bookmarkStart w:id="87" w:name="exm-quotient"/>
    <w:p>
      <w:pPr>
        <w:pStyle w:val="BodyText"/>
      </w:pPr>
      <w:r>
        <w:rPr>
          <w:b/>
          <w:bCs/>
        </w:rPr>
        <w:t xml:space="preserve">Example 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requires a nonzero denominator.</w:t>
      </w:r>
    </w:p>
    <w:bookmarkEnd w:id="87"/>
    <w:bookmarkStart w:id="88" w:name="def-rate"/>
    <w:p>
      <w:pPr>
        <w:pStyle w:val="BodyText"/>
      </w:pPr>
      <w:r>
        <w:rPr>
          <w:b/>
          <w:bCs/>
        </w:rPr>
        <w:t xml:space="preserve">Definition 15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88"/>
    <w:p>
      <w:pPr>
        <w:pStyle w:val="BodyText"/>
      </w:pPr>
      <w:r>
        <w:t xml:space="preserve">cf. </w:t>
      </w:r>
      <w:hyperlink r:id="rId89">
        <w:r>
          <w:rPr>
            <w:rStyle w:val="Hyperlink"/>
          </w:rPr>
          <w:t xml:space="preserve">https://en.wikipedia.org/wiki/Rate_(mathematics)</w:t>
        </w:r>
      </w:hyperlink>
    </w:p>
    <w:bookmarkStart w:id="91" w:name="def-ratio"/>
    <w:p>
      <w:pPr>
        <w:pStyle w:val="BodyText"/>
      </w:pPr>
      <w:r>
        <w:rPr>
          <w:b/>
          <w:bCs/>
        </w:rPr>
        <w:t xml:space="preserve">Definition 16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90">
        <w:r>
          <w:rPr>
            <w:rStyle w:val="Hyperlink"/>
          </w:rPr>
          <w:t xml:space="preserve">https://en.wikipedia.org/wiki/Ratio</w:t>
        </w:r>
      </w:hyperlink>
    </w:p>
    <w:bookmarkEnd w:id="91"/>
    <w:bookmarkStart w:id="94" w:name="def-proportion"/>
    <w:p>
      <w:pPr>
        <w:pStyle w:val="BodyText"/>
      </w:pPr>
      <w:r>
        <w:rPr>
          <w:b/>
          <w:bCs/>
        </w:rPr>
        <w:t xml:space="preserve">Definition 17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93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94"/>
    <w:bookmarkStart w:id="96" w:name="def-proportional"/>
    <w:p>
      <w:pPr>
        <w:pStyle w:val="BodyText"/>
      </w:pPr>
      <w:r>
        <w:rPr>
          <w:b/>
          <w:bCs/>
        </w:rPr>
        <w:t xml:space="preserve">Definition 18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95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96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98"/>
    <w:bookmarkStart w:id="107" w:name="sec-polynomials"/>
    <w:p>
      <w:pPr>
        <w:pStyle w:val="Heading2"/>
      </w:pPr>
      <w:r>
        <w:t xml:space="preserve">13 Polynomials</w:t>
      </w:r>
    </w:p>
    <w:bookmarkStart w:id="99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9"/>
    <w:bookmarkStart w:id="100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0"/>
    <w:bookmarkStart w:id="101" w:name="def-polynomial"/>
    <w:p>
      <w:pPr>
        <w:pStyle w:val="FirstParagraph"/>
      </w:pPr>
      <w:r>
        <w:rPr>
          <w:b/>
          <w:bCs/>
        </w:rPr>
        <w:t xml:space="preserve">Definition 19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01"/>
    <w:bookmarkStart w:id="102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02"/>
    <w:bookmarkStart w:id="103" w:name="def-polynomial-degree"/>
    <w:p>
      <w:pPr>
        <w:pStyle w:val="BodyText"/>
      </w:pPr>
      <w:r>
        <w:rPr>
          <w:b/>
          <w:bCs/>
        </w:rPr>
        <w:t xml:space="preserve">Definition 20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3"/>
    <w:bookmarkStart w:id="104" w:name="exm-polynomial-degree"/>
    <w:p>
      <w:pPr>
        <w:pStyle w:val="BodyText"/>
      </w:pPr>
      <w:r>
        <w:rPr>
          <w:b/>
          <w:bCs/>
        </w:rPr>
        <w:t xml:space="preserve">Example 7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17"/>
        </w:numPr>
      </w:pPr>
      <w:r>
        <w:t xml:space="preserve">A constant 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def-polynomial-leading-coefficient"/>
    <w:p>
      <w:pPr>
        <w:pStyle w:val="FirstParagraph"/>
      </w:pPr>
      <w:r>
        <w:rPr>
          <w:b/>
          <w:bCs/>
        </w:rPr>
        <w:t xml:space="preserve">Definition 21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5"/>
    <w:bookmarkStart w:id="106" w:name="exm-leading-coefficient"/>
    <w:p>
      <w:pPr>
        <w:pStyle w:val="BodyText"/>
      </w:pPr>
      <w:r>
        <w:rPr>
          <w:b/>
          <w:bCs/>
        </w:rPr>
        <w:t xml:space="preserve">Example 8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06"/>
    <w:bookmarkEnd w:id="107"/>
    <w:bookmarkStart w:id="128" w:name="exponentials-and-logarithms"/>
    <w:p>
      <w:pPr>
        <w:pStyle w:val="Heading2"/>
      </w:pPr>
      <w:r>
        <w:t xml:space="preserve">14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108" w:name="thm-exp-log-inverse"/>
    <w:p>
      <w:pPr>
        <w:pStyle w:val="BodyText"/>
      </w:pPr>
      <w:r>
        <w:rPr>
          <w:b/>
          <w:bCs/>
        </w:rPr>
        <w:t xml:space="preserve">Theorem 19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08"/>
    <w:bookmarkStart w:id="109" w:name="thm-log-prod"/>
    <w:p>
      <w:pPr>
        <w:pStyle w:val="FirstParagraph"/>
      </w:pPr>
      <w:r>
        <w:rPr>
          <w:b/>
          <w:bCs/>
        </w:rPr>
        <w:t xml:space="preserve">Theorem 20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09"/>
    <w:bookmarkStart w:id="11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11" w:name="thm-log-exp"/>
    <w:p>
      <w:pPr>
        <w:pStyle w:val="BodyText"/>
      </w:pPr>
      <w:r>
        <w:rPr>
          <w:b/>
          <w:bCs/>
        </w:rPr>
        <w:t xml:space="preserve">Theorem 21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11"/>
    <w:bookmarkStart w:id="112" w:name="thm-exp-sum"/>
    <w:p>
      <w:pPr>
        <w:pStyle w:val="FirstParagraph"/>
      </w:pPr>
      <w:r>
        <w:rPr>
          <w:b/>
          <w:bCs/>
        </w:rPr>
        <w:t xml:space="preserve">Theorem 22 (exponential of a sum)</w:t>
      </w:r>
      <w:r>
        <w:t xml:space="preserve"> </w:t>
      </w: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2"/>
    <w:bookmarkStart w:id="113" w:name="exm-exp-sum"/>
    <w:p>
      <w:pPr>
        <w:pStyle w:val="FirstParagraph"/>
      </w:pPr>
      <w:r>
        <w:rPr>
          <w:b/>
          <w:bCs/>
        </w:rPr>
        <w:t xml:space="preserve">Example 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13"/>
    <w:bookmarkStart w:id="11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14"/>
    <w:bookmarkStart w:id="115" w:name="exm-exp-difference"/>
    <w:p>
      <w:pPr>
        <w:pStyle w:val="FirstParagraph"/>
      </w:pPr>
      <w:r>
        <w:rPr>
          <w:b/>
          <w:bCs/>
        </w:rPr>
        <w:t xml:space="preserve">Example 10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15"/>
    <w:bookmarkStart w:id="116" w:name="thm-double-exp"/>
    <w:p>
      <w:pPr>
        <w:pStyle w:val="BodyText"/>
      </w:pPr>
      <w:r>
        <w:rPr>
          <w:b/>
          <w:bCs/>
        </w:rPr>
        <w:t xml:space="preserve">Theorem 23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116"/>
    <w:bookmarkStart w:id="117" w:name="exm-double-exp-negative-base"/>
    <w:p>
      <w:pPr>
        <w:pStyle w:val="FirstParagraph"/>
      </w:pPr>
      <w:r>
        <w:rPr>
          <w:b/>
          <w:bCs/>
        </w:rPr>
        <w:t xml:space="preserve">Example 11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17"/>
    <w:bookmarkStart w:id="118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118"/>
    <w:bookmarkStart w:id="119" w:name="exr-exp-vs-mult"/>
    <w:p>
      <w:pPr>
        <w:pStyle w:val="FirstParagraph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19"/>
    <w:bookmarkStart w:id="12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2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1"/>
        </w:tc>
      </w:tr>
    </w:tbl>
    <w:bookmarkEnd w:id="122"/>
    <w:bookmarkStart w:id="123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23"/>
    <w:bookmarkStart w:id="125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21</w:t>
        </w:r>
      </w:hyperlink>
      <w:r>
        <w:t xml:space="preserve">):</w:t>
      </w:r>
    </w:p>
    <w:p>
      <w:pPr>
        <w:pStyle w:val="BodyText"/>
      </w:pPr>
      <w:bookmarkStart w:id="124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5"/>
    <w:bookmarkStart w:id="127" w:name="refs"/>
    <w:bookmarkStart w:id="12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6"/>
    <w:bookmarkEnd w:id="127"/>
    <w:bookmarkEnd w:id="1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2" Target="https://en.wikipedia.org/wiki/Population_proportion" TargetMode="External" /><Relationship Type="http://schemas.openxmlformats.org/officeDocument/2006/relationships/hyperlink" Id="rId97" Target="https://en.wikipedia.org/wiki/Population_proportion#Mathematical_definition" TargetMode="External" /><Relationship Type="http://schemas.openxmlformats.org/officeDocument/2006/relationships/hyperlink" Id="rId93" Target="https://en.wikipedia.org/wiki/Proportion_(mathematics)" TargetMode="External" /><Relationship Type="http://schemas.openxmlformats.org/officeDocument/2006/relationships/hyperlink" Id="rId95" Target="https://en.wikipedia.org/wiki/Proportionality_(mathematics)" TargetMode="External" /><Relationship Type="http://schemas.openxmlformats.org/officeDocument/2006/relationships/hyperlink" Id="rId89" Target="https://en.wikipedia.org/wiki/Rate_(mathematics)" TargetMode="External" /><Relationship Type="http://schemas.openxmlformats.org/officeDocument/2006/relationships/hyperlink" Id="rId90" Target="https://en.wikipedia.org/wiki/Ratio" TargetMode="External" /><Relationship Type="http://schemas.openxmlformats.org/officeDocument/2006/relationships/hyperlink" Id="rId33" Target="linear-algebra.qmd#def-euclidean-norm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25" Target="sets-functions.qmd#def-image" TargetMode="External" /><Relationship Type="http://schemas.openxmlformats.org/officeDocument/2006/relationships/hyperlink" Id="rId8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2" Target="https://en.wikipedia.org/wiki/Population_proportion" TargetMode="External" /><Relationship Type="http://schemas.openxmlformats.org/officeDocument/2006/relationships/hyperlink" Id="rId97" Target="https://en.wikipedia.org/wiki/Population_proportion#Mathematical_definition" TargetMode="External" /><Relationship Type="http://schemas.openxmlformats.org/officeDocument/2006/relationships/hyperlink" Id="rId93" Target="https://en.wikipedia.org/wiki/Proportion_(mathematics)" TargetMode="External" /><Relationship Type="http://schemas.openxmlformats.org/officeDocument/2006/relationships/hyperlink" Id="rId95" Target="https://en.wikipedia.org/wiki/Proportionality_(mathematics)" TargetMode="External" /><Relationship Type="http://schemas.openxmlformats.org/officeDocument/2006/relationships/hyperlink" Id="rId89" Target="https://en.wikipedia.org/wiki/Rate_(mathematics)" TargetMode="External" /><Relationship Type="http://schemas.openxmlformats.org/officeDocument/2006/relationships/hyperlink" Id="rId90" Target="https://en.wikipedia.org/wiki/Ratio" TargetMode="External" /><Relationship Type="http://schemas.openxmlformats.org/officeDocument/2006/relationships/hyperlink" Id="rId33" Target="linear-algebra.qmd#def-euclidean-norm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25" Target="sets-functions.qmd#def-image" TargetMode="External" /><Relationship Type="http://schemas.openxmlformats.org/officeDocument/2006/relationships/hyperlink" Id="rId8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2026-10-03T08:32:40Z</dcterms:created>
  <dcterms:modified xsi:type="dcterms:W3CDTF">2026-10-03T08:32:40Z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01:28:45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