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2026-10-11 00:33:48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9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∘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7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elementwise-function"/>
    <w:p>
      <w:pPr>
        <w:pStyle w:val="FirstParagraph"/>
      </w:pPr>
      <w:r>
        <w:rPr>
          <w:b/>
          <w:bCs/>
        </w:rPr>
        <w:t xml:space="preserve">Definition 24 (Elementwise application of a function to a vector)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 function (</w:t>
      </w:r>
      <w:hyperlink w:anchor="def-function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vector whose entries all lie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elementwise application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vector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⊙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a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: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sSup>
          <m:e>
            <m:r>
              <m:t>B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</m:oMath>
      <w:r>
        <w:t xml:space="preserve">-fold Cartesian product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 itself (</w:t>
      </w:r>
      <w:hyperlink w:anchor="def-cartesian-product">
        <w:r>
          <w:rPr>
            <w:rStyle w:val="Hyperlink"/>
          </w:rPr>
          <w:t xml:space="preserve">definition</w:t>
        </w:r>
      </w:hyperlink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t xml:space="preserve">The superscript</w:t>
      </w:r>
      <w:r>
        <w:t xml:space="preserve"> </w:t>
      </w:r>
      <m:oMath>
        <m:r>
          <m:rPr>
            <m:sty m:val="p"/>
          </m:rPr>
          <m:t>⊙</m:t>
        </m:r>
      </m:oMath>
      <w:r>
        <w:t xml:space="preserve"> </w:t>
      </w:r>
      <w:r>
        <w:t xml:space="preserve">keeps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 </w:t>
      </w:r>
      <w:r>
        <w:t xml:space="preserve">apart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Where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a whole vector as its argument,</w:t>
      </w:r>
      <w:r>
        <w:t xml:space="preserve"> </w:t>
      </w:r>
      <w:r>
        <w:t xml:space="preserve">as in the multivariable calculus of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evaluated at the vector,</w:t>
      </w:r>
      <w:r>
        <w:t xml:space="preserve"> </w:t>
      </w:r>
      <w:r>
        <w:t xml:space="preserve">which is generally not the vector of its values at the entries.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parameters, as in</w:t>
      </w:r>
      <w:r>
        <w:t xml:space="preserve"> </w:t>
      </w:r>
      <m:oMath>
        <m:sSub>
          <m:e>
            <m:r>
              <m:t>f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</m:oMath>
      <w:r>
        <w:t xml:space="preserve">,</w:t>
      </w:r>
      <w:r>
        <w:t xml:space="preserve"> </w:t>
      </w:r>
      <w:r>
        <w:t xml:space="preserve">the same parameters are used at every entry.</w:t>
      </w:r>
    </w:p>
    <w:p>
      <w:pPr>
        <w:pStyle w:val="Compact"/>
        <w:numPr>
          <w:ilvl w:val="0"/>
          <w:numId w:val="1017"/>
        </w:numPr>
      </w:pPr>
      <w:r>
        <w:t xml:space="preserve">Software usually applies a scalar function to a vector this way,</w:t>
      </w:r>
      <w:r>
        <w:t xml:space="preserve"> </w:t>
      </w:r>
      <w:r>
        <w:t xml:space="preserve">without a special symbol:</w:t>
      </w:r>
      <w:r>
        <w:t xml:space="preserve"> </w:t>
      </w:r>
      <w:r>
        <w:t xml:space="preserve">R and NumPy evaluate</w:t>
      </w:r>
      <w:r>
        <w:t xml:space="preserve"> </w:t>
      </w:r>
      <w:r>
        <w:rPr>
          <w:rStyle w:val="VerbatimChar"/>
        </w:rPr>
        <w:t xml:space="preserve">exp(x)</w:t>
      </w:r>
      <w:r>
        <w:t xml:space="preserve"> </w:t>
      </w:r>
      <w:r>
        <w:t xml:space="preserve">entry by entry.</w:t>
      </w:r>
      <w:r>
        <w:t xml:space="preserve"> </w:t>
      </w:r>
      <w:r>
        <w:t xml:space="preserve">The matrix exponential of a square matrix is a different function from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</m:oMath>
      <w:r>
        <w:t xml:space="preserve">.</w:t>
      </w:r>
    </w:p>
    <w:bookmarkEnd w:id="74"/>
    <w:bookmarkStart w:id="75" w:name="exm-elementwise-function"/>
    <w:p>
      <w:pPr>
        <w:pStyle w:val="FirstParagraph"/>
      </w:pPr>
      <w:r>
        <w:rPr>
          <w:b/>
          <w:bCs/>
        </w:rPr>
        <w:t xml:space="preserve">Example 20 (The exponential and logistic functions applied to a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the logistic function</w:t>
      </w:r>
      <w:r>
        <w:t xml:space="preserve"> </w:t>
      </w:r>
      <m:oMath>
        <m:r>
          <m:rPr>
            <m:sty m:val="p"/>
          </m:rPr>
          <m:t>expit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t</m:t>
                </m:r>
              </m:sup>
            </m:sSup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exp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expit</m:t>
                  </m:r>
                </m:e>
                <m:sup>
                  <m:r>
                    <m:rPr>
                      <m:sty m:val="p"/>
                    </m:rPr>
                    <m:t>⊙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code evaluates both, using R’s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,</w:t>
      </w:r>
      <w:r>
        <w:t xml:space="preserve"> </w:t>
      </w:r>
      <w:r>
        <w:t xml:space="preserve">which apply to a vector entry by entry.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expit_x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exp_x</w:t>
      </w:r>
      <w:r>
        <w:br/>
      </w:r>
      <w:r>
        <w:rPr>
          <w:rStyle w:val="CommentTok"/>
        </w:rPr>
        <w:t xml:space="preserve">#&gt; [1] 0.3678794 1.0000000 7.3890561</w:t>
      </w:r>
      <w:r>
        <w:br/>
      </w:r>
      <w:r>
        <w:rPr>
          <w:rStyle w:val="NormalTok"/>
        </w:rPr>
        <w:t xml:space="preserve">expit_x</w:t>
      </w:r>
      <w:r>
        <w:br/>
      </w:r>
      <w:r>
        <w:rPr>
          <w:rStyle w:val="CommentTok"/>
        </w:rPr>
        <w:t xml:space="preserve">#&gt; [1] 0.2689414 0.5000000 0.8807971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exp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(0.3679, 1, 7.3891)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expit</m:t>
            </m:r>
          </m:e>
          <m:sup>
            <m:r>
              <m:rPr>
                <m:sty m:val="p"/>
              </m:rPr>
              <m:t>⊙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(0.2689, 0.5, 0.8808).</w:t>
      </w:r>
      <w:r>
        <w:t xml:space="preserve"> </w:t>
      </w:r>
      <w:r>
        <w:t xml:space="preserve">Each entry of the output depends only on the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same position.</w:t>
      </w:r>
    </w:p>
    <w:bookmarkEnd w:id="75"/>
    <w:bookmarkStart w:id="77" w:name="def-sequence"/>
    <w:p>
      <w:pPr>
        <w:pStyle w:val="BodyText"/>
      </w:pPr>
      <w:r>
        <w:rPr>
          <w:b/>
          <w:bCs/>
        </w:rPr>
        <w:t xml:space="preserve">Definition 25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6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7"/>
    <w:bookmarkStart w:id="78" w:name="exm-sequence"/>
    <w:p>
      <w:pPr>
        <w:pStyle w:val="BodyText"/>
      </w:pPr>
      <w:r>
        <w:rPr>
          <w:b/>
          <w:bCs/>
        </w:rPr>
        <w:t xml:space="preserve">Example 21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8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8"/>
    <w:bookmarkEnd w:id="79"/>
    <w:bookmarkStart w:id="94" w:name="countable-sets"/>
    <w:p>
      <w:pPr>
        <w:pStyle w:val="Heading2"/>
      </w:pPr>
      <w:r>
        <w:t xml:space="preserve">4 Countable sets</w:t>
      </w:r>
    </w:p>
    <w:bookmarkStart w:id="80" w:name="def-finite-set"/>
    <w:p>
      <w:pPr>
        <w:pStyle w:val="FirstParagraph"/>
      </w:pPr>
      <w:r>
        <w:rPr>
          <w:b/>
          <w:bCs/>
        </w:rPr>
        <w:t xml:space="preserve">Definition 26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80"/>
    <w:bookmarkStart w:id="83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81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82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3"/>
    <w:bookmarkStart w:id="84" w:name="exm-finite-set"/>
    <w:p>
      <w:pPr>
        <w:pStyle w:val="BodyText"/>
      </w:pPr>
      <w:r>
        <w:rPr>
          <w:b/>
          <w:bCs/>
        </w:rPr>
        <w:t xml:space="preserve">Example 22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4"/>
    <w:bookmarkStart w:id="85" w:name="def-countable-set"/>
    <w:p>
      <w:pPr>
        <w:pStyle w:val="FirstParagraph"/>
      </w:pPr>
      <w:r>
        <w:rPr>
          <w:b/>
          <w:bCs/>
        </w:rPr>
        <w:t xml:space="preserve">Definition 27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5"/>
    <w:bookmarkStart w:id="86" w:name="def-countably-infinite"/>
    <w:p>
      <w:pPr>
        <w:pStyle w:val="BodyText"/>
      </w:pPr>
      <w:r>
        <w:rPr>
          <w:b/>
          <w:bCs/>
        </w:rPr>
        <w:t xml:space="preserve">Definition 28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6"/>
    <w:bookmarkStart w:id="89" w:name="exm-countable-set"/>
    <w:p>
      <w:pPr>
        <w:pStyle w:val="BodyText"/>
      </w:pPr>
      <w:r>
        <w:rPr>
          <w:b/>
          <w:bCs/>
        </w:rPr>
        <w:t xml:space="preserve">Example 23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7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20"/>
        </w:numPr>
      </w:pPr>
      <w:r>
        <w:t xml:space="preserve">The</w:t>
      </w:r>
      <w:r>
        <w:t xml:space="preserve"> </w:t>
      </w:r>
      <w:hyperlink r:id="rId88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9"/>
    <w:bookmarkStart w:id="90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90"/>
    <w:bookmarkStart w:id="93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91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92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3"/>
    <w:bookmarkEnd w:id="94"/>
    <w:bookmarkStart w:id="99" w:name="extended-non-negative-real-numbers"/>
    <w:p>
      <w:pPr>
        <w:pStyle w:val="Heading2"/>
      </w:pPr>
      <w:r>
        <w:t xml:space="preserve">5 Extended non-negative real numbers</w:t>
      </w:r>
    </w:p>
    <w:bookmarkStart w:id="95" w:name="def-extended-nonneg-reals"/>
    <w:p>
      <w:pPr>
        <w:pStyle w:val="FirstParagraph"/>
      </w:pPr>
      <w:r>
        <w:rPr>
          <w:b/>
          <w:bCs/>
        </w:rPr>
        <w:t xml:space="preserve">Definition 29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5"/>
    <w:bookmarkStart w:id="97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6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7"/>
    <w:bookmarkStart w:id="98" w:name="exm-extended-nonneg-reals"/>
    <w:p>
      <w:pPr>
        <w:pStyle w:val="BodyText"/>
      </w:pPr>
      <w:r>
        <w:rPr>
          <w:b/>
          <w:bCs/>
        </w:rPr>
        <w:t xml:space="preserve">Example 24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0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1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1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1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1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100"/>
    <w:bookmarkStart w:id="110" w:name="references"/>
    <w:p>
      <w:pPr>
        <w:pStyle w:val="Heading2"/>
      </w:pPr>
      <w:r>
        <w:t xml:space="preserve">References</w:t>
      </w:r>
    </w:p>
    <w:bookmarkStart w:id="109" w:name="refs"/>
    <w:bookmarkStart w:id="102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01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02"/>
    <w:bookmarkStart w:id="104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3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4"/>
    <w:bookmarkStart w:id="106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5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6"/>
    <w:bookmarkStart w:id="108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7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8"/>
    <w:bookmarkEnd w:id="109"/>
    <w:bookmarkEnd w:id="1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lgebra-basics.html#def-absolute-value" TargetMode="External" /><Relationship Type="http://schemas.openxmlformats.org/officeDocument/2006/relationships/hyperlink" Id="rId82" Target="algebra-complex.html#def-complex-modulus" TargetMode="External" /><Relationship Type="http://schemas.openxmlformats.org/officeDocument/2006/relationships/hyperlink" Id="rId103" Target="https://doi.org/10.1007/978-1-4612-0903-4" TargetMode="External" /><Relationship Type="http://schemas.openxmlformats.org/officeDocument/2006/relationships/hyperlink" Id="rId107" Target="https://doi.org/10.1007/978-1-4757-1645-0" TargetMode="External" /><Relationship Type="http://schemas.openxmlformats.org/officeDocument/2006/relationships/hyperlink" Id="rId105" Target="https://doi.org/10.1016/C2009-0-22107-6" TargetMode="External" /><Relationship Type="http://schemas.openxmlformats.org/officeDocument/2006/relationships/hyperlink" Id="rId92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6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101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8" Target="notation.qmd#def-integers" TargetMode="External" /><Relationship Type="http://schemas.openxmlformats.org/officeDocument/2006/relationships/hyperlink" Id="rId76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7" Target="notation.qmd#def-nonnegative-integers" TargetMode="External" /><Relationship Type="http://schemas.openxmlformats.org/officeDocument/2006/relationships/hyperlink" Id="rId91" Target="notation.qmd#def-proof" TargetMode="External" /><Relationship Type="http://schemas.openxmlformats.org/officeDocument/2006/relationships/hyperlink" Id="rId15" Target="notation.qmd#def-real-numbers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2026-10-11T08:17:54Z</dcterms:created>
  <dcterms:modified xsi:type="dcterms:W3CDTF">2026-10-11T08:17:54Z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00:33:48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