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6.png" ContentType="image/png"/>
  <Override PartName="/word/media/rId50.png" ContentType="image/png"/>
  <Override PartName="/word/media/rId26.png" ContentType="image/png"/>
  <Override PartName="/word/media/rId22.png" ContentType="image/png"/>
  <Override PartName="/word/media/rId89.png" ContentType="image/png"/>
  <Override PartName="/word/media/rId85.png" ContentType="image/png"/>
  <Override PartName="/word/media/rId72.png" ContentType="image/png"/>
  <Override PartName="/word/media/rId76.png" ContentType="image/png"/>
  <Override PartName="/word/media/rId57.png" ContentType="image/png"/>
  <Override PartName="/word/media/rId102.png" ContentType="image/png"/>
  <Override PartName="/word/media/rId1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Calculus</w:t>
      </w:r>
    </w:p>
    <w:p>
      <w:pPr>
        <w:pStyle w:val="Date"/>
      </w:pPr>
      <w:r>
        <w:t xml:space="preserve">Last modified: 2026-09-28 16:01:14 (PDT)</w:t>
      </w:r>
    </w:p>
    <w:bookmarkStart w:id="19" w:name="sec-derivatives"/>
    <w:p>
      <w:pPr>
        <w:pStyle w:val="Heading2"/>
      </w:pPr>
      <w:r>
        <w:t xml:space="preserve">1 Derivatives</w:t>
      </w:r>
    </w:p>
    <w:bookmarkStart w:id="9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"/>
    <w:bookmarkStart w:id="10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10"/>
    <w:bookmarkStart w:id="11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11"/>
    <w:bookmarkStart w:id="12" w:name="thm-deriv-log"/>
    <w:p>
      <w:pPr>
        <w:pStyle w:val="BodyText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log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x</m:t>
              </m:r>
            </m:den>
          </m:f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12"/>
    <w:bookmarkStart w:id="13" w:name="thm-deriv-exp"/>
    <w:p>
      <w:pPr>
        <w:pStyle w:val="FirstParagraph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13"/>
    <w:bookmarkStart w:id="14" w:name="thm-product-rule"/>
    <w:p>
      <w:pPr>
        <w:pStyle w:val="FirstParagraph"/>
      </w:pPr>
      <w:r>
        <w:rPr>
          <w:b/>
          <w:bCs/>
        </w:rPr>
        <w:t xml:space="preserve">Theorem 6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14"/>
    <w:bookmarkStart w:id="15" w:name="thm-quotient-rule"/>
    <w:p>
      <w:pPr>
        <w:pStyle w:val="FirstParagraph"/>
      </w:pPr>
      <w:r>
        <w:rPr>
          <w:b/>
          <w:bCs/>
        </w:rPr>
        <w:t xml:space="preserve">Theorem 7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15"/>
    <w:bookmarkStart w:id="17" w:name="thm-chain-rule"/>
    <w:p>
      <w:pPr>
        <w:pStyle w:val="FirstParagraph"/>
      </w:pPr>
      <w:r>
        <w:rPr>
          <w:b/>
          <w:bCs/>
        </w:rPr>
        <w:t xml:space="preserve">Theorem 8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</w:t>
      </w:r>
      <w:r>
        <w:t xml:space="preserve"> </w:t>
      </w:r>
      <w:hyperlink r:id="rId16">
        <w:r>
          <w:rPr>
            <w:rStyle w:val="Hyperlink"/>
          </w:rPr>
          <w:t xml:space="preserve">Lagrange’s notation</w:t>
        </w:r>
      </w:hyperlink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17"/>
    <w:bookmarkStart w:id="18" w:name="cor-deriv-log-chain"/>
    <w:p>
      <w:pPr>
        <w:pStyle w:val="FirstParagraph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19"/>
    <w:bookmarkStart w:id="96" w:name="sec-integration"/>
    <w:p>
      <w:pPr>
        <w:pStyle w:val="Heading2"/>
      </w:pPr>
      <w:r>
        <w:t xml:space="preserve">2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bookmarkStart w:id="34" w:name="antiderivatives"/>
    <w:p>
      <w:pPr>
        <w:pStyle w:val="Heading3"/>
      </w:pPr>
      <w:r>
        <w:t xml:space="preserve">2.1 Antiderivatives</w:t>
      </w:r>
    </w:p>
    <w:bookmarkStart w:id="20" w:name="def-antiderivative"/>
    <w:p>
      <w:pPr>
        <w:pStyle w:val="FirstParagraph"/>
      </w:pPr>
      <w:r>
        <w:rPr>
          <w:b/>
          <w:bCs/>
        </w:rPr>
        <w:t xml:space="preserve">Definition 1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(Larson and Edwards 2018, sec. 4.1, pp. 248–249)</w:t>
      </w:r>
    </w:p>
    <w:bookmarkEnd w:id="20"/>
    <w:bookmarkStart w:id="21" w:name="def-indefinite-integral"/>
    <w:p>
      <w:pPr>
        <w:pStyle w:val="BodyText"/>
      </w:pPr>
      <w:r>
        <w:rPr>
          <w:b/>
          <w:bCs/>
        </w:rPr>
        <w:t xml:space="preserve">Definition 2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21"/>
    <w:bookmarkStart w:id="31" w:name="exm-antiderivative-power"/>
    <w:p>
      <w:pPr>
        <w:pStyle w:val="BodyText"/>
      </w:pPr>
      <w:r>
        <w:rPr>
          <w:b/>
          <w:bCs/>
        </w:rPr>
        <w:t xml:space="preserve">Example 1 (Antiderivative of a power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1</w:t>
        </w:r>
      </w:hyperlink>
      <w:r>
        <w:t xml:space="preserve">.</w:t>
      </w:r>
    </w:p>
    <w:bookmarkStart w:id="30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5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2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2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do.call</w:t>
                  </w:r>
                  <w:r>
                    <w:rPr>
                      <w:rStyle w:val="NormalTok"/>
                    </w:rPr>
                    <w:t xml:space="preserve">(rbind,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(C_vals, 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}))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2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2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30"/>
    <w:bookmarkEnd w:id="31"/>
    <w:bookmarkStart w:id="32" w:name="thm-integral-rules"/>
    <w:p>
      <w:pPr>
        <w:pStyle w:val="BodyText"/>
      </w:pPr>
      <w:r>
        <w:rPr>
          <w:b/>
          <w:bCs/>
        </w:rPr>
        <w:t xml:space="preserve">Theorem 9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32"/>
    <w:bookmarkStart w:id="33" w:name="exm-integral-rules-quadratic"/>
    <w:p>
      <w:pPr>
        <w:pStyle w:val="BodyText"/>
      </w:pPr>
      <w:r>
        <w:rPr>
          <w:b/>
          <w:bCs/>
        </w:rPr>
        <w:t xml:space="preserve">Example 2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Verify by differentiating: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as required.</w:t>
      </w:r>
    </w:p>
    <w:bookmarkEnd w:id="33"/>
    <w:bookmarkEnd w:id="34"/>
    <w:bookmarkStart w:id="64" w:name="regularity-conditions"/>
    <w:p>
      <w:pPr>
        <w:pStyle w:val="Heading3"/>
      </w:pPr>
      <w:r>
        <w:t xml:space="preserve">2.2 Regularity Conditions</w:t>
      </w:r>
    </w:p>
    <w:bookmarkStart w:id="35" w:name="def-differentiable"/>
    <w:p>
      <w:pPr>
        <w:pStyle w:val="FirstParagraph"/>
      </w:pPr>
      <w:r>
        <w:rPr>
          <w:b/>
          <w:bCs/>
        </w:rPr>
        <w:t xml:space="preserve">Definition 3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the limit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</m:oMath>
      </m:oMathPara>
    </w:p>
    <w:p>
      <w:pPr>
        <w:pStyle w:val="FirstParagraph"/>
      </w:pPr>
      <w:r>
        <w:t xml:space="preserve">exists and is finite.</w:t>
      </w:r>
    </w:p>
    <w:p>
      <w:pPr>
        <w:pStyle w:val="BodyText"/>
      </w:pPr>
      <w:r>
        <w:t xml:space="preserve">(Larson and Edwards 2018, sec. 2.1, p. 100)</w:t>
      </w:r>
    </w:p>
    <w:bookmarkEnd w:id="35"/>
    <w:bookmarkStart w:id="36" w:name="def-differentiable-on"/>
    <w:p>
      <w:pPr>
        <w:pStyle w:val="BodyText"/>
      </w:pPr>
      <w:r>
        <w:rPr>
          <w:b/>
          <w:bCs/>
        </w:rPr>
        <w:t xml:space="preserve">Definition 4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w:anchor="def-differentiable">
        <w:r>
          <w:rPr>
            <w:rStyle w:val="Hyperlink"/>
          </w:rPr>
          <w:t xml:space="preserve">Definition 3</w:t>
        </w:r>
      </w:hyperlink>
      <w:r>
        <w:t xml:space="preserve">) at every interior point of the interval;</w:t>
      </w:r>
      <w:r>
        <w:t xml:space="preserve"> </w:t>
      </w:r>
      <w:r>
        <w:t xml:space="preserve">at a closed endpoint, the appropriate one-sided derivative is used.</w:t>
      </w:r>
    </w:p>
    <w:p>
      <w:pPr>
        <w:pStyle w:val="BodyText"/>
      </w:pPr>
      <w:r>
        <w:t xml:space="preserve">(Larson and Edwards 2018, sec. 2.1, p. 100)</w:t>
      </w:r>
    </w:p>
    <w:bookmarkEnd w:id="36"/>
    <w:bookmarkStart w:id="37" w:name="def-continuous"/>
    <w:p>
      <w:pPr>
        <w:pStyle w:val="BodyText"/>
      </w:pPr>
      <w:r>
        <w:rPr>
          <w:b/>
          <w:bCs/>
        </w:rPr>
        <w:t xml:space="preserve">Definition 5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37"/>
    <w:bookmarkStart w:id="38" w:name="def-continuous-on"/>
    <w:p>
      <w:pPr>
        <w:pStyle w:val="BodyText"/>
      </w:pPr>
      <w:r>
        <w:rPr>
          <w:b/>
          <w:bCs/>
        </w:rPr>
        <w:t xml:space="preserve">Definition 6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2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5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38"/>
    <w:bookmarkStart w:id="39" w:name="exm-continuous-on-sqrt"/>
    <w:p>
      <w:pPr>
        <w:pStyle w:val="BodyText"/>
      </w:pPr>
      <w:r>
        <w:rPr>
          <w:b/>
          <w:bCs/>
        </w:rPr>
        <w:t xml:space="preserve">Example 3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ad>
          <m:radPr>
            <m:degHide m:val="on"/>
          </m:radPr>
          <m:deg/>
          <m:e>
            <m:r>
              <m:t>x</m:t>
            </m:r>
          </m:e>
        </m:rad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1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ad>
          <m:radPr>
            <m:degHide m:val="on"/>
          </m:radPr>
          <m:deg/>
          <m:e>
            <m:r>
              <m:t>x</m:t>
            </m:r>
          </m:e>
        </m:rad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39"/>
    <w:bookmarkStart w:id="40" w:name="def-partition"/>
    <w:p>
      <w:pPr>
        <w:pStyle w:val="BodyText"/>
      </w:pPr>
      <w:r>
        <w:rPr>
          <w:b/>
          <w:bCs/>
        </w:rPr>
        <w:t xml:space="preserve">Definition 7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&lt;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&lt;</m:t>
          </m:r>
          <m:r>
            <m:rPr>
              <m:sty m:val="p"/>
            </m:rPr>
            <m:t>⋯</m:t>
          </m:r>
          <m:r>
            <m:rPr>
              <m:sty m:val="p"/>
            </m:rPr>
            <m:t>&lt;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40"/>
    <w:bookmarkStart w:id="41" w:name="exm-partition"/>
    <w:p>
      <w:pPr>
        <w:pStyle w:val="BodyText"/>
      </w:pPr>
      <w:r>
        <w:rPr>
          <w:b/>
          <w:bCs/>
        </w:rPr>
        <w:t xml:space="preserve">Example 4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41"/>
    <w:bookmarkStart w:id="42" w:name="def-mesh"/>
    <w:p>
      <w:pPr>
        <w:pStyle w:val="BodyText"/>
      </w:pPr>
      <w:r>
        <w:rPr>
          <w:b/>
          <w:bCs/>
        </w:rPr>
        <w:t xml:space="preserve">Definition 8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7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∥</m:t>
          </m:r>
          <m:r>
            <m:rPr>
              <m:scr m:val="script"/>
              <m:sty m:val="p"/>
            </m:rPr>
            <m:t>P</m:t>
          </m:r>
          <m:r>
            <m:rPr>
              <m:sty m:val="p"/>
            </m:rPr>
            <m:t>∥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(Larson and Edwards 2018, sec. 4.3)</w:t>
      </w:r>
    </w:p>
    <w:bookmarkEnd w:id="42"/>
    <w:bookmarkStart w:id="43" w:name="exm-mesh"/>
    <w:p>
      <w:pPr>
        <w:pStyle w:val="BodyText"/>
      </w:pPr>
      <w:r>
        <w:rPr>
          <w:b/>
          <w:bCs/>
        </w:rPr>
        <w:t xml:space="preserve">Example 5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rPr>
            <m:sty m:val="p"/>
          </m:rPr>
          <m:t>∥</m:t>
        </m:r>
        <m:r>
          <m:rPr>
            <m:scr m:val="script"/>
            <m:sty m:val="p"/>
          </m:rPr>
          <m:t>P</m:t>
        </m:r>
        <m:r>
          <m:rPr>
            <m:sty m:val="p"/>
          </m:rPr>
          <m:t>∥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43"/>
    <w:bookmarkStart w:id="44" w:name="def-riemann-integral"/>
    <w:p>
      <w:pPr>
        <w:pStyle w:val="BodyText"/>
      </w:pPr>
      <w:r>
        <w:rPr>
          <w:b/>
          <w:bCs/>
        </w:rPr>
        <w:t xml:space="preserve">Definition 9 (Riemann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the limit as the mesh (</w:t>
      </w:r>
      <w:hyperlink w:anchor="def-mesh">
        <w:r>
          <w:rPr>
            <w:rStyle w:val="Hyperlink"/>
          </w:rPr>
          <w:t xml:space="preserve">Definition 8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∥</m:t>
              </m:r>
              <m:r>
                <m:rPr>
                  <m:scr m:val="script"/>
                  <m:sty m:val="p"/>
                </m:rPr>
                <m:t>P</m:t>
              </m:r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(Larson and Edwards 2018, sec. 4.3, p. 272)</w:t>
      </w:r>
    </w:p>
    <w:bookmarkEnd w:id="44"/>
    <w:bookmarkStart w:id="45" w:name="def-integrable"/>
    <w:p>
      <w:pPr>
        <w:pStyle w:val="BodyText"/>
      </w:pPr>
      <w:r>
        <w:rPr>
          <w:b/>
          <w:bCs/>
        </w:rPr>
        <w:t xml:space="preserve">Definition 10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its Riemann integral (</w:t>
      </w:r>
      <w:hyperlink w:anchor="def-riemann-integral">
        <w:r>
          <w:rPr>
            <w:rStyle w:val="Hyperlink"/>
          </w:rPr>
          <w:t xml:space="preserve">Definition 9</w:t>
        </w:r>
      </w:hyperlink>
      <w:r>
        <w:t xml:space="preserve">) 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exists and is finite.</w:t>
      </w:r>
    </w:p>
    <w:p>
      <w:pPr>
        <w:pStyle w:val="BodyText"/>
      </w:pPr>
      <w:r>
        <w:t xml:space="preserve">(Larson and Edwards 2018, sec. 4.3, p. 272)</w:t>
      </w:r>
    </w:p>
    <w:bookmarkEnd w:id="45"/>
    <w:bookmarkStart w:id="46" w:name="def-riemann-sum-equal-width"/>
    <w:p>
      <w:pPr>
        <w:pStyle w:val="BodyText"/>
      </w:pPr>
      <w:r>
        <w:rPr>
          <w:b/>
          <w:bCs/>
        </w:rPr>
        <w:t xml:space="preserve">Definition 11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46"/>
    <w:bookmarkStart w:id="47" w:name="exm-equal-width-sum"/>
    <w:p>
      <w:pPr>
        <w:pStyle w:val="FirstParagraph"/>
      </w:pPr>
      <w:r>
        <w:rPr>
          <w:b/>
          <w:bCs/>
        </w:rPr>
        <w:t xml:space="preserve">Example 6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47"/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 sufficient 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buys us.</w:t>
      </w:r>
    </w:p>
    <w:bookmarkStart w:id="48" w:name="thm-diff-implies-cont"/>
    <w:p>
      <w:pPr>
        <w:pStyle w:val="BodyText"/>
      </w:pPr>
      <w:r>
        <w:rPr>
          <w:b/>
          <w:bCs/>
        </w:rPr>
        <w:t xml:space="preserve">Theorem 10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hold.</w:t>
      </w:r>
    </w:p>
    <w:bookmarkStart w:id="49" w:name="exm-diff-implies-cont"/>
    <w:p>
      <w:pPr>
        <w:pStyle w:val="BodyText"/>
      </w:pPr>
      <w:r>
        <w:rPr>
          <w:b/>
          <w:bCs/>
        </w:rPr>
        <w:t xml:space="preserve">Example 7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it is continuous everywhere.</w:t>
      </w:r>
    </w:p>
    <w:bookmarkEnd w:id="49"/>
    <w:bookmarkStart w:id="54" w:name="exm-cont-not-diff"/>
    <w:p>
      <w:pPr>
        <w:pStyle w:val="BodyText"/>
      </w:pPr>
      <w:r>
        <w:rPr>
          <w:b/>
          <w:bCs/>
        </w:rPr>
        <w:t xml:space="preserve">Example 8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</m:oMath>
      <w:r>
        <w:t xml:space="preserve">),</w:t>
      </w:r>
      <w:r>
        <w:t xml:space="preserve"> </w:t>
      </w: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left-derivative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the right-derivative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This counterexample shows that the converse 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abs-value-code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53"/>
        </w:tc>
      </w:tr>
    </w:tbl>
    <w:bookmarkEnd w:id="54"/>
    <w:bookmarkStart w:id="55" w:name="thm-cont-implies-int"/>
    <w:p>
      <w:pPr>
        <w:pStyle w:val="BodyText"/>
      </w:pPr>
      <w:r>
        <w:rPr>
          <w:b/>
          <w:bCs/>
        </w:rPr>
        <w:t xml:space="preserve">Theorem 11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55"/>
    <w:bookmarkStart w:id="56" w:name="exm-cont-implies-int"/>
    <w:p>
      <w:pPr>
        <w:pStyle w:val="BodyText"/>
      </w:pPr>
      <w:r>
        <w:rPr>
          <w:b/>
          <w:bCs/>
        </w:rPr>
        <w:t xml:space="preserve">Example 9 (Continuous, hence integrable: polynomials)</w:t>
      </w:r>
      <w:r>
        <w:t xml:space="preserve"> </w:t>
      </w:r>
      <w:r>
        <w:t xml:space="preserve">Every polynomial 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56"/>
    <w:bookmarkStart w:id="61" w:name="exm-int-not-cont"/>
    <w:p>
      <w:pPr>
        <w:pStyle w:val="BodyText"/>
      </w:pPr>
      <w:r>
        <w:rPr>
          <w:b/>
          <w:bCs/>
        </w:rPr>
        <w:t xml:space="preserve">Example 10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t>0</m:t>
              </m:r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+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1</m:t>
              </m:r>
            </m:sup>
            <m:e>
              <m:r>
                <m:t>1</m:t>
              </m:r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+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step-code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0"/>
        </w:tc>
      </w:tr>
    </w:tbl>
    <w:bookmarkEnd w:id="61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show that neither implication reverses in general.</w:t>
      </w:r>
    </w:p>
    <w:bookmarkStart w:id="62" w:name="thm-riemann-general"/>
    <w:p>
      <w:pPr>
        <w:pStyle w:val="BodyText"/>
      </w:pPr>
      <w:r>
        <w:rPr>
          <w:b/>
          <w:bCs/>
        </w:rPr>
        <w:t xml:space="preserve">Theorem 12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11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8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63" w:name="exm-riemann-equal-width"/>
    <w:p>
      <w:pPr>
        <w:pStyle w:val="BodyText"/>
      </w:pPr>
      <w:r>
        <w:rPr>
          <w:b/>
          <w:bCs/>
        </w:rPr>
        <w:t xml:space="preserve">Example 11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63"/>
    <w:bookmarkEnd w:id="64"/>
    <w:bookmarkStart w:id="95" w:name="fundamental-theorem-of-calculus"/>
    <w:p>
      <w:pPr>
        <w:pStyle w:val="Heading3"/>
      </w:pPr>
      <w:r>
        <w:t xml:space="preserve">2.3 Fundamental Theorem of Calculus</w:t>
      </w:r>
    </w:p>
    <w:bookmarkStart w:id="71" w:name="thm-ftc"/>
    <w:p>
      <w:pPr>
        <w:pStyle w:val="FirstParagraph"/>
      </w:pPr>
      <w:r>
        <w:rPr>
          <w:b/>
          <w:bCs/>
        </w:rPr>
        <w:t xml:space="preserve">Theorem 13 (Fundamental Theorem of Calculus)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1 (Derivative of an integral).</w:t>
      </w:r>
      <w:r>
        <w:t xml:space="preserve"> </w:t>
      </w:r>
      <w:r>
        <w:t xml:space="preserve">Define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65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6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p>
      <w:pPr>
        <w:pStyle w:val="BodyText"/>
      </w:pPr>
      <w:r>
        <w:rPr>
          <w:b/>
          <w:bCs/>
        </w:rPr>
        <w:t xml:space="preserve">Part 2 (Evaluation theorem).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 Part 1.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69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69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70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70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71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1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2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10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81" w:name="exm-ftc-part1-accumulation"/>
    <w:p>
      <w:pPr>
        <w:pStyle w:val="BodyText"/>
      </w:pPr>
      <w:r>
        <w:rPr>
          <w:b/>
          <w:bCs/>
        </w:rPr>
        <w:t xml:space="preserve">Example 12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 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 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x</m:t>
              </m:r>
            </m:sup>
            <m:e>
              <m:r>
                <m:t>2</m:t>
              </m:r>
            </m:e>
          </m:nary>
          <m:r>
            <m:t>t</m:t>
          </m:r>
          <m:r>
            <m:t> </m:t>
          </m:r>
          <m:r>
            <m:t>d</m:t>
          </m:r>
          <m:r>
            <m:t>t</m:t>
          </m:r>
          <m:r>
            <m:t> </m:t>
          </m:r>
          <m:r>
            <m:rPr>
              <m:sty m:val="p"/>
            </m:rPr>
            <m:t>=</m:t>
          </m:r>
          <m:r>
            <m:t> 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x</m:t>
              </m:r>
            </m:sup>
          </m:sSubSup>
          <m:r>
            <m:t> </m:t>
          </m:r>
          <m:r>
            <m:rPr>
              <m:sty m:val="p"/>
            </m:rPr>
            <m:t>=</m:t>
          </m:r>
          <m:r>
            <m:t> 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0</m:t>
              </m:r>
            </m:e>
            <m:sup>
              <m:r>
                <m:t>2</m:t>
              </m:r>
            </m:sup>
          </m:sSup>
          <m:r>
            <m:t> </m:t>
          </m:r>
          <m:r>
            <m:rPr>
              <m:sty m:val="p"/>
            </m:rPr>
            <m:t>=</m:t>
          </m:r>
          <m:r>
            <m:t> 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as</w:t>
      </w:r>
      <w:r>
        <w:t xml:space="preserve"> </w:t>
      </w:r>
      <w:hyperlink w:anchor="thm-ft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80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75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7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left-code-1.png" id="7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7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79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7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right-code-1.png" id="7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7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4: Left: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; the shaded area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1.5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2.25</m:t>
        </m:r>
      </m:oMath>
      <w:r>
        <w:t xml:space="preserve">;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80"/>
    <w:bookmarkEnd w:id="81"/>
    <w:bookmarkStart w:id="94" w:name="exm-ftc-cdf-pdf"/>
    <w:p>
      <w:pPr>
        <w:pStyle w:val="BodyText"/>
      </w:pPr>
      <w:r>
        <w:rPr>
          <w:b/>
          <w:bCs/>
        </w:rPr>
        <w:t xml:space="preserve">Example 13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82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 exponential distribution with rate parameter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83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84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(standard exponential),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r>
            <m:rPr>
              <m:sty m:val="p"/>
            </m:rPr>
            <m:t>≈</m:t>
          </m:r>
          <m:r>
            <m:t>1</m:t>
          </m:r>
          <m:r>
            <m:rPr>
              <m:sty m:val="p"/>
            </m:rPr>
            <m:t>−</m:t>
          </m:r>
          <m:r>
            <m:t>0.135</m:t>
          </m:r>
          <m:r>
            <m:rPr>
              <m:sty m:val="p"/>
            </m:rPr>
            <m:t>=</m:t>
          </m:r>
          <m:r>
            <m:t>0.865</m:t>
          </m: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5</w:t>
        </w:r>
      </w:hyperlink>
      <w:r>
        <w:t xml:space="preserve">.</w:t>
      </w:r>
    </w:p>
    <w:bookmarkStart w:id="93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88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8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pdf-code-1.png" id="8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8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92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9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cdf-code-1.png" id="9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9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5: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93"/>
    <w:bookmarkEnd w:id="94"/>
    <w:bookmarkEnd w:id="95"/>
    <w:bookmarkEnd w:id="96"/>
    <w:bookmarkStart w:id="120" w:name="sec-double-integrals"/>
    <w:p>
      <w:pPr>
        <w:pStyle w:val="Heading2"/>
      </w:pPr>
      <w:r>
        <w:t xml:space="preserve">3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two versions: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t xml:space="preserve">-finite measure-theoretic version (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) is</w:t>
      </w:r>
      <w:r>
        <w:t xml:space="preserve"> </w:t>
      </w:r>
      <w:r>
        <w:t xml:space="preserve">included to make the</w:t>
      </w:r>
      <w:r>
        <w:t xml:space="preserve"> </w:t>
      </w:r>
      <w:hyperlink r:id="rId97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 the probability chapter of</w:t>
      </w:r>
      <w:r>
        <w:t xml:space="preserve"> </w:t>
      </w:r>
      <w:r>
        <w:rPr>
          <w:i/>
          <w:iCs/>
        </w:rPr>
        <w:t xml:space="preserve">Regression Models for Epidemiology</w:t>
      </w:r>
      <w:r>
        <w:t xml:space="preserve"> </w:t>
      </w:r>
      <w:r>
        <w:t xml:space="preserve">follow from a stated theorem rather than from an aside.</w:t>
      </w:r>
    </w:p>
    <w:bookmarkStart w:id="98" w:name="def-double-integral"/>
    <w:p>
      <w:pPr>
        <w:pStyle w:val="BodyText"/>
      </w:pPr>
      <w:r>
        <w:rPr>
          <w:b/>
          <w:bCs/>
        </w:rPr>
        <w:t xml:space="preserve">Definition 12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∥</m:t>
        </m:r>
        <m:r>
          <m:rPr>
            <m:sty m:val="p"/>
          </m:rPr>
          <m:t>Δ</m:t>
        </m:r>
        <m:r>
          <m:rPr>
            <m:sty m:val="p"/>
          </m:rPr>
          <m:t>∥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(Larson and Edwards 2018, sec. 14.2)</w:t>
      </w:r>
    </w:p>
    <w:bookmarkEnd w:id="98"/>
    <w:p>
      <w:pPr>
        <w:pStyle w:val="BodyText"/>
      </w:pP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iterated integral</w:t>
      </w:r>
      <w:r>
        <w:t xml:space="preserve"> </w:t>
      </w:r>
      <w:r>
        <w:t xml:space="preserve">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t> </m:t>
            </m:r>
            <m:r>
              <m:t>d</m:t>
            </m:r>
            <m:r>
              <m:t>y</m:t>
            </m:r>
          </m:e>
        </m:d>
        <m:r>
          <m:t>​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fixed.</w:t>
      </w:r>
    </w:p>
    <w:bookmarkStart w:id="99" w:name="exm-double-integral-area"/>
    <w:p>
      <w:pPr>
        <w:pStyle w:val="BodyText"/>
      </w:pPr>
      <w:r>
        <w:rPr>
          <w:b/>
          <w:bCs/>
        </w:rPr>
        <w:t xml:space="preserve">Example 14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99"/>
    <w:bookmarkStart w:id="100" w:name="thm-fubini"/>
    <w:p>
      <w:pPr>
        <w:pStyle w:val="BodyText"/>
      </w:pPr>
      <w:r>
        <w:rPr>
          <w:b/>
          <w:bCs/>
        </w:rPr>
        <w:t xml:space="preserve">Theorem 14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4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(Larson and Edwards 2018, Theorem 14.2, p. 982)</w:t>
      </w:r>
    </w:p>
    <w:bookmarkEnd w:id="100"/>
    <w:bookmarkStart w:id="107" w:name="exm-fubini-nonrect"/>
    <w:p>
      <w:pPr>
        <w:pStyle w:val="BodyText"/>
      </w:pPr>
      <w:r>
        <w:rPr>
          <w:b/>
          <w:bCs/>
        </w:rPr>
        <w:t xml:space="preserve">Example 15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(Larson and Edwards 2018, sec. 14.2, Example 4, pp. 984–985)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</w:t>
      </w:r>
      <w:r>
        <w:t xml:space="preserve"> </w:t>
      </w:r>
      <m:oMath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hyperlink r:id="rId82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83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10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indicator 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6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5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3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1-1.png" id="1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105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no elementary antiderivative.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w:anchor="thm-chain-rule">
        <w:r>
          <w:rPr>
            <w:rStyle w:val="Hyperlink"/>
          </w:rPr>
          <w:t xml:space="preserve">Theorem 8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7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6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106"/>
        </w:tc>
      </w:tr>
    </w:tbl>
    <w:bookmarkEnd w:id="107"/>
    <w:bookmarkStart w:id="109" w:name="exm-fubini-fail"/>
    <w:p>
      <w:pPr>
        <w:pStyle w:val="BodyText"/>
      </w:pPr>
      <w:r>
        <w:rPr>
          <w:b/>
          <w:bCs/>
        </w:rPr>
        <w:t xml:space="preserve">Example 16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Using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f>
          <m:fPr>
            <m:type m:val="bar"/>
          </m:fPr>
          <m:num>
            <m:r>
              <m:t>y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Using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14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(Wikipedia contributors 2024)</w:t>
      </w:r>
    </w:p>
    <w:p>
      <w:pPr>
        <w:pStyle w:val="BodyText"/>
      </w:pPr>
      <w:r>
        <w:t xml:space="preserve">The surface, and the singularity at the origin responsible for the</w:t>
      </w:r>
      <w:r>
        <w:t xml:space="preserve"> </w:t>
      </w:r>
      <w:r>
        <w:t xml:space="preserve">failure, are shown in</w:t>
      </w:r>
      <w:r>
        <w:t xml:space="preserve"> </w:t>
      </w:r>
      <w:hyperlink w:anchor="fig-fubini-fail">
        <w:r>
          <w:rPr>
            <w:rStyle w:val="Hyperlink"/>
          </w:rPr>
          <w:t xml:space="preserve">Figure 8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The function diverges to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to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The singularity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why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14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108"/>
        </w:tc>
      </w:tr>
    </w:tbl>
    <w:bookmarkEnd w:id="109"/>
    <w:bookmarkStart w:id="110" w:name="cor-fubini-rect"/>
    <w:p>
      <w:pPr>
        <w:pStyle w:val="BodyText"/>
      </w:pPr>
      <w:r>
        <w:rPr>
          <w:b/>
          <w:bCs/>
        </w:rPr>
        <w:t xml:space="preserve">Corollary 2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14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(Larson and Edwards 2018, Theorem 14.2, p. 982)</w:t>
      </w:r>
    </w:p>
    <w:bookmarkEnd w:id="1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116" w:name="exm-fubini-rect"/>
    <w:p>
      <w:pPr>
        <w:pStyle w:val="BodyText"/>
      </w:pPr>
      <w:r>
        <w:rPr>
          <w:b/>
          <w:bCs/>
        </w:rPr>
        <w:t xml:space="preserve">Example 17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(Larson and Edwards 2018, sec. 14.2, Example 2, pp. 982–983)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</w:t>
      </w:r>
      <w:r>
        <w:t xml:space="preserve"> </w:t>
      </w:r>
      <m:oMath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hyperlink r:id="rId82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83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9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10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4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6-1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114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10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5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115"/>
        </w:tc>
      </w:tr>
    </w:tbl>
    <w:bookmarkEnd w:id="116"/>
    <w:bookmarkStart w:id="117" w:name="thm-fubini-tonelli"/>
    <w:p>
      <w:pPr>
        <w:pStyle w:val="BodyText"/>
      </w:pPr>
      <w:r>
        <w:rPr>
          <w:b/>
          <w:bCs/>
        </w:rPr>
        <w:t xml:space="preserve">Theorem 15 (Fubini–Tonelli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-finite</w:t>
      </w:r>
      <w:r>
        <w:t xml:space="preserve"> </w:t>
      </w:r>
      <w:r>
        <w:t xml:space="preserve">measure spaces,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</w:t>
      </w:r>
      <w:r>
        <w:t xml:space="preserve"> </w:t>
      </w:r>
      <w:r>
        <w:t xml:space="preserve">with respect to the product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everywhere with respect to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r>
        <w:rPr>
          <w:b/>
          <w:bCs/>
        </w:rPr>
        <w:t xml:space="preserve">Tonelli’s theorem</w:t>
      </w:r>
      <w:r>
        <w:t xml:space="preserve">), or</w:t>
      </w:r>
    </w:p>
    <w:p>
      <w:pPr>
        <w:numPr>
          <w:ilvl w:val="0"/>
          <w:numId w:val="1005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Fubini’s theorem</w:t>
      </w:r>
      <w:r>
        <w:t xml:space="preserve">),</w:t>
      </w:r>
    </w:p>
    <w:p>
      <w:pPr>
        <w:pStyle w:val="FirstParagraph"/>
      </w:pPr>
      <w:r>
        <w:t xml:space="preserve">then both iterated integrals exist, 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Fubini 1907; Wikipedia contributors 2024)</w:t>
      </w:r>
    </w:p>
    <w:bookmarkEnd w:id="117"/>
    <w:p>
      <w:pPr>
        <w:pStyle w:val="BodyText"/>
      </w:pP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97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 the probability</w:t>
      </w:r>
      <w:r>
        <w:t xml:space="preserve"> </w:t>
      </w:r>
      <w:r>
        <w:t xml:space="preserve">chapter of</w:t>
      </w:r>
      <w:r>
        <w:t xml:space="preserve"> </w:t>
      </w:r>
      <w:r>
        <w:rPr>
          <w:i/>
          <w:iCs/>
        </w:rPr>
        <w:t xml:space="preserve">Regression Models for Epidemiology</w:t>
      </w:r>
      <w:r>
        <w:t xml:space="preserve">: probability measures are finite (hence</w:t>
      </w:r>
      <w:r>
        <w:t xml:space="preserve"> </w:t>
      </w:r>
      <m:oMath>
        <m:r>
          <m:t>σ</m:t>
        </m:r>
      </m:oMath>
      <w:r>
        <w:t xml:space="preserve">-finite), so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  <w:r>
        <w:t xml:space="preserve"> </w:t>
      </w:r>
      <w:r>
        <w:t xml:space="preserve">The integrability conditions</w:t>
      </w:r>
      <w:r>
        <w:t xml:space="preserve"> </w:t>
      </w:r>
      <w:r>
        <w:t xml:space="preserve">(nonnegativity or absolute integrability) still need to be verified</w:t>
      </w:r>
      <w:r>
        <w:t xml:space="preserve"> </w:t>
      </w:r>
      <w:r>
        <w:t xml:space="preserve">in each application.</w:t>
      </w:r>
    </w:p>
    <w:bookmarkStart w:id="118" w:name="exm-fubini-tonelli-apply"/>
    <w:p>
      <w:pPr>
        <w:pStyle w:val="BodyText"/>
      </w:pPr>
      <w:r>
        <w:rPr>
          <w:b/>
          <w:bCs/>
        </w:rPr>
        <w:t xml:space="preserve">Example 18 (Positive application of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15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</w:t>
      </w:r>
      <w:r>
        <w:t xml:space="preserve"> </w:t>
      </w:r>
      <m:oMath>
        <m:r>
          <m:rPr>
            <m:sty m:val="p"/>
          </m:rPr>
          <m:t>Exponential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hyperlink r:id="rId82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83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condition (a) (Tonelli’s theorem, nonnegativity)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guarantees when condition (a) holds.</w:t>
      </w:r>
    </w:p>
    <w:bookmarkEnd w:id="118"/>
    <w:bookmarkStart w:id="119" w:name="exm-fubini-fail-tonelli"/>
    <w:p>
      <w:pPr>
        <w:pStyle w:val="BodyText"/>
      </w:pPr>
      <w:r>
        <w:rPr>
          <w:b/>
          <w:bCs/>
        </w:rPr>
        <w:t xml:space="preserve">Example 19 (When neither Fubini–Tonelli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illustrates a case where neither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15</w:t>
        </w:r>
      </w:hyperlink>
      <w:r>
        <w:rPr>
          <w:b/>
          <w:bCs/>
        </w:rPr>
        <w:t xml:space="preserve">’s conditions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condition (b).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  <w:r>
        <w:t xml:space="preserve"> </w:t>
      </w:r>
      <m:oMath>
        <m:r>
          <m:rPr>
            <m:sty m:val="p"/>
          </m:rPr>
          <m:t>|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|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cos</m:t>
            </m:r>
            <m:r>
              <m:t>2</m:t>
            </m:r>
            <m:r>
              <m:t>θ</m:t>
            </m:r>
          </m:e>
        </m:d>
        <m:r>
          <m:t>​</m:t>
        </m:r>
        <m:r>
          <m:rPr>
            <m:sty m:val="p"/>
          </m:rPr>
          <m:t>/</m:t>
        </m:r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condition (b) of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(Condition (a) 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 and negative values,</w:t>
      </w:r>
      <w:r>
        <w:t xml:space="preserve"> </w:t>
      </w:r>
      <w:r>
        <w:t xml:space="preserve">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: the theorem simply does not apply.</w:t>
      </w:r>
    </w:p>
    <w:p>
      <w:pPr>
        <w:pStyle w:val="BodyText"/>
      </w:pPr>
      <w:r>
        <w:t xml:space="preserve">(Wikipedia contributors 2024)</w:t>
      </w:r>
    </w:p>
    <w:bookmarkEnd w:id="119"/>
    <w:bookmarkEnd w:id="120"/>
    <w:bookmarkStart w:id="123" w:name="sec-additional-resources"/>
    <w:p>
      <w:pPr>
        <w:pStyle w:val="Heading2"/>
      </w:pPr>
      <w:r>
        <w:t xml:space="preserve">4 Additional resources</w:t>
      </w:r>
    </w:p>
    <w:p>
      <w:pPr>
        <w:pStyle w:val="Compact"/>
        <w:numPr>
          <w:ilvl w:val="0"/>
          <w:numId w:val="1006"/>
        </w:numPr>
      </w:pPr>
      <w:r>
        <w:t xml:space="preserve">Kaplan (2022)</w:t>
      </w:r>
    </w:p>
    <w:p>
      <w:pPr>
        <w:pStyle w:val="Compact"/>
        <w:numPr>
          <w:ilvl w:val="0"/>
          <w:numId w:val="1006"/>
        </w:numPr>
      </w:pPr>
      <w:r>
        <w:t xml:space="preserve">Khuri (2003)</w:t>
      </w:r>
    </w:p>
    <w:p>
      <w:pPr>
        <w:pStyle w:val="Compact"/>
        <w:numPr>
          <w:ilvl w:val="0"/>
          <w:numId w:val="1006"/>
        </w:numPr>
      </w:pPr>
      <w:r>
        <w:t xml:space="preserve">Banner (2007)</w:t>
      </w:r>
    </w:p>
    <w:p>
      <w:pPr>
        <w:pStyle w:val="Compact"/>
        <w:numPr>
          <w:ilvl w:val="0"/>
          <w:numId w:val="1006"/>
        </w:numPr>
      </w:pPr>
      <w:r>
        <w:t xml:space="preserve">Larson and Edwards (2018)</w:t>
      </w:r>
    </w:p>
    <w:p>
      <w:pPr>
        <w:pStyle w:val="Compact"/>
        <w:numPr>
          <w:ilvl w:val="0"/>
          <w:numId w:val="1006"/>
        </w:numPr>
      </w:pPr>
      <w:r>
        <w:t xml:space="preserve">Miller (2016)</w:t>
      </w:r>
    </w:p>
    <w:p>
      <w:pPr>
        <w:pStyle w:val="Compact"/>
        <w:numPr>
          <w:ilvl w:val="1"/>
          <w:numId w:val="1007"/>
        </w:numPr>
      </w:pPr>
      <w:hyperlink r:id="rId121">
        <w:r>
          <w:rPr>
            <w:rStyle w:val="Hyperlink"/>
          </w:rPr>
          <w:t xml:space="preserve">http://www.youtube.com/watch?v=xYzQL0TUtBA</w:t>
        </w:r>
      </w:hyperlink>
    </w:p>
    <w:p>
      <w:pPr>
        <w:pStyle w:val="Compact"/>
        <w:numPr>
          <w:ilvl w:val="1"/>
          <w:numId w:val="1007"/>
        </w:numPr>
      </w:pPr>
      <w:hyperlink r:id="rId122">
        <w:r>
          <w:rPr>
            <w:rStyle w:val="Hyperlink"/>
          </w:rPr>
          <w:t xml:space="preserve">http://www.youtube.com/watch?v=Ps2SBo_WjoE</w:t>
        </w:r>
      </w:hyperlink>
    </w:p>
    <w:p>
      <w:pPr>
        <w:pStyle w:val="Compact"/>
        <w:numPr>
          <w:ilvl w:val="0"/>
          <w:numId w:val="1006"/>
        </w:numPr>
      </w:pPr>
      <w:r>
        <w:t xml:space="preserve">Grinberg (2017)</w:t>
      </w:r>
      <w:r>
        <w:t xml:space="preserve"> </w:t>
      </w:r>
      <w:r>
        <w:t xml:space="preserve">(the rigorous foundations behind these results)</w:t>
      </w:r>
    </w:p>
    <w:bookmarkEnd w:id="123"/>
    <w:bookmarkStart w:id="146" w:name="references"/>
    <w:p>
      <w:pPr>
        <w:pStyle w:val="Heading2"/>
      </w:pPr>
      <w:r>
        <w:t xml:space="preserve">References</w:t>
      </w:r>
    </w:p>
    <w:bookmarkStart w:id="145" w:name="refs"/>
    <w:bookmarkStart w:id="125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124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125"/>
    <w:bookmarkStart w:id="126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26"/>
    <w:bookmarkStart w:id="127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127"/>
    <w:bookmarkStart w:id="129" w:name="ref-realanalysislifesaver"/>
    <w:p>
      <w:pPr>
        <w:pStyle w:val="Bibliography"/>
      </w:pPr>
      <w:r>
        <w:t xml:space="preserve">Grinberg, Raffi. 2017.</w:t>
      </w:r>
      <w:r>
        <w:t xml:space="preserve"> </w:t>
      </w:r>
      <w:r>
        <w:rPr>
          <w:i/>
          <w:iCs/>
        </w:rPr>
        <w:t xml:space="preserve">The Real Analysis Lifesaver: All the Tools You Need to Understand Proofs</w:t>
      </w:r>
      <w:r>
        <w:t xml:space="preserve">. 1st ed. Princeton Lifesaver Study Guides. Princeton University Press.</w:t>
      </w:r>
      <w:r>
        <w:t xml:space="preserve"> </w:t>
      </w:r>
      <w:hyperlink r:id="rId128">
        <w:r>
          <w:rPr>
            <w:rStyle w:val="Hyperlink"/>
          </w:rPr>
          <w:t xml:space="preserve">https://press.princeton.edu/books/paperback/9780691172934/the-real-analysis-lifesaver</w:t>
        </w:r>
      </w:hyperlink>
      <w:r>
        <w:t xml:space="preserve">.</w:t>
      </w:r>
    </w:p>
    <w:bookmarkEnd w:id="129"/>
    <w:bookmarkStart w:id="131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30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31"/>
    <w:bookmarkStart w:id="133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132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133"/>
    <w:bookmarkStart w:id="135" w:name="ref-khuri2003advanced"/>
    <w:p>
      <w:pPr>
        <w:pStyle w:val="Bibliography"/>
      </w:pPr>
      <w:r>
        <w:t xml:space="preserve">Khuri, André I. 2003.</w:t>
      </w:r>
      <w:r>
        <w:t xml:space="preserve"> </w:t>
      </w:r>
      <w:r>
        <w:rPr>
          <w:i/>
          <w:iCs/>
        </w:rPr>
        <w:t xml:space="preserve">Advanced Calculus with Applications in Statistics</w:t>
      </w:r>
      <w:r>
        <w:t xml:space="preserve">. John Wiley &amp; Sons.</w:t>
      </w:r>
      <w:r>
        <w:t xml:space="preserve"> </w:t>
      </w:r>
      <w:hyperlink r:id="rId134">
        <w:r>
          <w:rPr>
            <w:rStyle w:val="Hyperlink"/>
          </w:rPr>
          <w:t xml:space="preserve">https://doi.org/10.1002/0471394882</w:t>
        </w:r>
      </w:hyperlink>
      <w:r>
        <w:t xml:space="preserve">.</w:t>
      </w:r>
    </w:p>
    <w:bookmarkEnd w:id="135"/>
    <w:bookmarkStart w:id="137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36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137"/>
    <w:bookmarkStart w:id="139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138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139"/>
    <w:bookmarkStart w:id="141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40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41"/>
    <w:bookmarkStart w:id="142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42"/>
    <w:bookmarkStart w:id="144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43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144"/>
    <w:bookmarkEnd w:id="145"/>
    <w:bookmarkEnd w:id="1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6" Target="media/rId66.png" /><Relationship Type="http://schemas.openxmlformats.org/officeDocument/2006/relationships/image" Id="rId50" Target="media/rId50.png" /><Relationship Type="http://schemas.openxmlformats.org/officeDocument/2006/relationships/image" Id="rId26" Target="media/rId26.png" /><Relationship Type="http://schemas.openxmlformats.org/officeDocument/2006/relationships/image" Id="rId22" Target="media/rId22.png" /><Relationship Type="http://schemas.openxmlformats.org/officeDocument/2006/relationships/image" Id="rId89" Target="media/rId89.png" /><Relationship Type="http://schemas.openxmlformats.org/officeDocument/2006/relationships/image" Id="rId85" Target="media/rId85.png" /><Relationship Type="http://schemas.openxmlformats.org/officeDocument/2006/relationships/image" Id="rId72" Target="media/rId72.png" /><Relationship Type="http://schemas.openxmlformats.org/officeDocument/2006/relationships/image" Id="rId76" Target="media/rId76.png" /><Relationship Type="http://schemas.openxmlformats.org/officeDocument/2006/relationships/image" Id="rId57" Target="media/rId57.png" /><Relationship Type="http://schemas.openxmlformats.org/officeDocument/2006/relationships/image" Id="rId102" Target="media/rId102.png" /><Relationship Type="http://schemas.openxmlformats.org/officeDocument/2006/relationships/image" Id="rId111" Target="media/rId111.png" /><Relationship Type="http://schemas.openxmlformats.org/officeDocument/2006/relationships/hyperlink" Id="rId122" Target="http://www.youtube.com/watch?v=Ps2SBo_WjoE" TargetMode="External" /><Relationship Type="http://schemas.openxmlformats.org/officeDocument/2006/relationships/hyperlink" Id="rId121" Target="http://www.youtube.com/watch?v=xYzQL0TUtBA" TargetMode="External" /><Relationship Type="http://schemas.openxmlformats.org/officeDocument/2006/relationships/hyperlink" Id="rId134" Target="https://doi.org/10.1002/0471394882" TargetMode="External" /><Relationship Type="http://schemas.openxmlformats.org/officeDocument/2006/relationships/hyperlink" Id="rId136" Target="https://doi.org/10.1007/978-1-4419-6646-9" TargetMode="External" /><Relationship Type="http://schemas.openxmlformats.org/officeDocument/2006/relationships/hyperlink" Id="rId130" Target="https://doi.org/10.1007/978-1-4614-4708-5" TargetMode="External" /><Relationship Type="http://schemas.openxmlformats.org/officeDocument/2006/relationships/hyperlink" Id="rId143" Target="https://en.wikipedia.org/wiki/Fubini%27s_theorem" TargetMode="External" /><Relationship Type="http://schemas.openxmlformats.org/officeDocument/2006/relationships/hyperlink" Id="rId16" Target="https://en.wikipedia.org/wiki/Notation_for_differentiation#Lagrange&#39;s_notation" TargetMode="External" /><Relationship Type="http://schemas.openxmlformats.org/officeDocument/2006/relationships/hyperlink" Id="rId82" Target="https://morrison-lab.github.io/rme/chapters/probability.html" TargetMode="External" /><Relationship Type="http://schemas.openxmlformats.org/officeDocument/2006/relationships/hyperlink" Id="rId97" Target="https://morrison-lab.github.io/rme/chapters/probability.html#cor-fubini-joint" TargetMode="External" /><Relationship Type="http://schemas.openxmlformats.org/officeDocument/2006/relationships/hyperlink" Id="rId84" Target="https://morrison-lab.github.io/rme/chapters/probability.html#def-cdf" TargetMode="External" /><Relationship Type="http://schemas.openxmlformats.org/officeDocument/2006/relationships/hyperlink" Id="rId101" Target="https://morrison-lab.github.io/rme/chapters/probability.html#def-expectation" TargetMode="External" /><Relationship Type="http://schemas.openxmlformats.org/officeDocument/2006/relationships/hyperlink" Id="rId83" Target="https://morrison-lab.github.io/rme/chapters/probability.html#def-pdf" TargetMode="External" /><Relationship Type="http://schemas.openxmlformats.org/officeDocument/2006/relationships/hyperlink" Id="rId124" Target="https://press.princeton.edu/books/paperback/9780691130880/the-calculus-lifesaver" TargetMode="External" /><Relationship Type="http://schemas.openxmlformats.org/officeDocument/2006/relationships/hyperlink" Id="rId128" Target="https://press.princeton.edu/books/paperback/9780691172934/the-real-analysis-lifesaver" TargetMode="External" /><Relationship Type="http://schemas.openxmlformats.org/officeDocument/2006/relationships/hyperlink" Id="rId140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38" Target="https://www.cengage.com/c/calculus-11e-larson/" TargetMode="External" /><Relationship Type="http://schemas.openxmlformats.org/officeDocument/2006/relationships/hyperlink" Id="rId132" Target="https://www.mosaic-web.or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2" Target="http://www.youtube.com/watch?v=Ps2SBo_WjoE" TargetMode="External" /><Relationship Type="http://schemas.openxmlformats.org/officeDocument/2006/relationships/hyperlink" Id="rId121" Target="http://www.youtube.com/watch?v=xYzQL0TUtBA" TargetMode="External" /><Relationship Type="http://schemas.openxmlformats.org/officeDocument/2006/relationships/hyperlink" Id="rId134" Target="https://doi.org/10.1002/0471394882" TargetMode="External" /><Relationship Type="http://schemas.openxmlformats.org/officeDocument/2006/relationships/hyperlink" Id="rId136" Target="https://doi.org/10.1007/978-1-4419-6646-9" TargetMode="External" /><Relationship Type="http://schemas.openxmlformats.org/officeDocument/2006/relationships/hyperlink" Id="rId130" Target="https://doi.org/10.1007/978-1-4614-4708-5" TargetMode="External" /><Relationship Type="http://schemas.openxmlformats.org/officeDocument/2006/relationships/hyperlink" Id="rId143" Target="https://en.wikipedia.org/wiki/Fubini%27s_theorem" TargetMode="External" /><Relationship Type="http://schemas.openxmlformats.org/officeDocument/2006/relationships/hyperlink" Id="rId16" Target="https://en.wikipedia.org/wiki/Notation_for_differentiation#Lagrange&#39;s_notation" TargetMode="External" /><Relationship Type="http://schemas.openxmlformats.org/officeDocument/2006/relationships/hyperlink" Id="rId82" Target="https://morrison-lab.github.io/rme/chapters/probability.html" TargetMode="External" /><Relationship Type="http://schemas.openxmlformats.org/officeDocument/2006/relationships/hyperlink" Id="rId97" Target="https://morrison-lab.github.io/rme/chapters/probability.html#cor-fubini-joint" TargetMode="External" /><Relationship Type="http://schemas.openxmlformats.org/officeDocument/2006/relationships/hyperlink" Id="rId84" Target="https://morrison-lab.github.io/rme/chapters/probability.html#def-cdf" TargetMode="External" /><Relationship Type="http://schemas.openxmlformats.org/officeDocument/2006/relationships/hyperlink" Id="rId101" Target="https://morrison-lab.github.io/rme/chapters/probability.html#def-expectation" TargetMode="External" /><Relationship Type="http://schemas.openxmlformats.org/officeDocument/2006/relationships/hyperlink" Id="rId83" Target="https://morrison-lab.github.io/rme/chapters/probability.html#def-pdf" TargetMode="External" /><Relationship Type="http://schemas.openxmlformats.org/officeDocument/2006/relationships/hyperlink" Id="rId124" Target="https://press.princeton.edu/books/paperback/9780691130880/the-calculus-lifesaver" TargetMode="External" /><Relationship Type="http://schemas.openxmlformats.org/officeDocument/2006/relationships/hyperlink" Id="rId128" Target="https://press.princeton.edu/books/paperback/9780691172934/the-real-analysis-lifesaver" TargetMode="External" /><Relationship Type="http://schemas.openxmlformats.org/officeDocument/2006/relationships/hyperlink" Id="rId140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38" Target="https://www.cengage.com/c/calculus-11e-larson/" TargetMode="External" /><Relationship Type="http://schemas.openxmlformats.org/officeDocument/2006/relationships/hyperlink" Id="rId132" Target="https://www.mosaic-web.or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Calculus</dc:title>
  <dc:creator/>
  <cp:keywords/>
  <dcterms:created xsi:type="dcterms:W3CDTF">2026-09-28T23:06:29Z</dcterms:created>
  <dcterms:modified xsi:type="dcterms:W3CDTF">2026-09-28T23:06:29Z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16:01:14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