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2026-09-28 16:01:14 (PDT)</w:t>
      </w:r>
    </w:p>
    <w:bookmarkStart w:id="36" w:name="vectors"/>
    <w:p>
      <w:pPr>
        <w:pStyle w:val="Heading2"/>
      </w:pPr>
      <w:r>
        <w:t xml:space="preserve">1 Vectors</w:t>
      </w:r>
    </w:p>
    <w:bookmarkStart w:id="9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bookmarkStart w:id="10" w:name="def-transpose"/>
    <w:p>
      <w:pPr>
        <w:pStyle w:val="BodyText"/>
      </w:pPr>
      <w:r>
        <w:rPr>
          <w:b/>
          <w:bCs/>
        </w:rPr>
        <w:t xml:space="preserve">Definition 2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0"/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Start w:id="11" w:name="def-vector-addition"/>
    <w:p>
      <w:pPr>
        <w:pStyle w:val="BodyText"/>
      </w:pPr>
      <w:r>
        <w:rPr>
          <w:b/>
          <w:bCs/>
        </w:rPr>
        <w:t xml:space="preserve">Definition 3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1"/>
    <w:bookmarkStart w:id="12" w:name="exm-vector-addition"/>
    <w:p>
      <w:pPr>
        <w:pStyle w:val="FirstParagraph"/>
      </w:pPr>
      <w:r>
        <w:rPr>
          <w:b/>
          <w:bCs/>
        </w:rPr>
        <w:t xml:space="preserve">Example 1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2"/>
    <w:bookmarkStart w:id="13" w:name="def-dot-product"/>
    <w:p>
      <w:pPr>
        <w:pStyle w:val="FirstParagraph"/>
      </w:pPr>
      <w:r>
        <w:rPr>
          <w:b/>
          <w:bCs/>
        </w:rPr>
        <w:t xml:space="preserve">Definition 4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dot product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linear combination</w:t>
            </w:r>
            <w:r>
              <w:t xml:space="preserve"> </w:t>
            </w:r>
            <w:r>
              <w:t xml:space="preserve">of the entries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also the standard</w:t>
            </w:r>
            <w:r>
              <w:t xml:space="preserve"> </w:t>
            </w:r>
            <w:r>
              <w:rPr>
                <w:i/>
                <w:iCs/>
              </w:rPr>
              <w:t xml:space="preserve">inner product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“inner product”</w:t>
            </w:r>
            <w:r>
              <w:t xml:space="preserve"> </w:t>
            </w:r>
            <w:r>
              <w:t xml:space="preserve">is the general notion,</w:t>
            </w:r>
            <w:r>
              <w:t xml:space="preserve"> </w:t>
            </w:r>
            <w:r>
              <w:t xml:space="preserve">of which the dot product is one example.</w:t>
            </w:r>
          </w:p>
          <w:p>
            <w:pPr>
              <w:pStyle w:val="BodyText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Section 1.3 (equation 1.1, page 7)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Kaplan (2022)</w:t>
            </w:r>
            <w:r>
              <w:t xml:space="preserve">, chapter on vectors</w:t>
            </w:r>
            <w:r>
              <w:t xml:space="preserve"> </w:t>
            </w:r>
          </w:p>
          <w:p>
            <w:pPr>
              <w:numPr>
                <w:ilvl w:val="0"/>
                <w:numId w:val="1001"/>
              </w:numPr>
            </w:pPr>
            <w:hyperlink r:id="rId17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bookmarkStart w:id="19" w:name="exm-dot-product"/>
    <w:p>
      <w:pPr>
        <w:pStyle w:val="BodyText"/>
      </w:pPr>
      <w:r>
        <w:rPr>
          <w:b/>
          <w:bCs/>
        </w:rPr>
        <w:t xml:space="preserve">Example 2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"/>
    <w:bookmarkStart w:id="20" w:name="thm-lincom-symmetric"/>
    <w:p>
      <w:pPr>
        <w:pStyle w:val="FirstParagraph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25" w:name="special-vectors"/>
    <w:p>
      <w:pPr>
        <w:pStyle w:val="Heading3"/>
      </w:pPr>
      <w:r>
        <w:t xml:space="preserve">1.1 Special vectors</w:t>
      </w:r>
    </w:p>
    <w:bookmarkStart w:id="21" w:name="def-zero-vector"/>
    <w:p>
      <w:pPr>
        <w:pStyle w:val="FirstParagraph"/>
      </w:pPr>
      <w:r>
        <w:rPr>
          <w:b/>
          <w:bCs/>
        </w:rPr>
        <w:t xml:space="preserve">Definition 5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1"/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bookmarkStart w:id="22" w:name="def-ones-vector"/>
    <w:p>
      <w:pPr>
        <w:pStyle w:val="BodyText"/>
      </w:pPr>
      <w:r>
        <w:rPr>
          <w:b/>
          <w:bCs/>
        </w:rPr>
        <w:t xml:space="preserve">Definition 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3" w:name="def-indicator-vector"/>
    <w:p>
      <w:pPr>
        <w:pStyle w:val="BodyText"/>
      </w:pPr>
      <w:r>
        <w:rPr>
          <w:b/>
          <w:bCs/>
        </w:rPr>
        <w:t xml:space="preserve">Definition 7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23"/>
    <w:p>
      <w:pPr>
        <w:pStyle w:val="FirstParagraph"/>
      </w:pPr>
      <w:r>
        <w:t xml:space="preserve">They are also called</w:t>
      </w:r>
      <w:r>
        <w:t xml:space="preserve"> </w:t>
      </w:r>
      <w:r>
        <w:rPr>
          <w:i/>
          <w:i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standard basis vectors</w:t>
      </w:r>
      <w:r>
        <w:t xml:space="preserve">.</w:t>
      </w:r>
    </w:p>
    <w:bookmarkStart w:id="2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25"/>
    <w:bookmarkStart w:id="35" w:name="orthogonality"/>
    <w:p>
      <w:pPr>
        <w:pStyle w:val="Heading3"/>
      </w:pPr>
      <w:r>
        <w:t xml:space="preserve">1.2 Orthogonality</w:t>
      </w:r>
    </w:p>
    <w:bookmarkStart w:id="26" w:name="def-orthogonal-vectors"/>
    <w:p>
      <w:pPr>
        <w:pStyle w:val="FirstParagraph"/>
      </w:pPr>
      <w:r>
        <w:rPr>
          <w:b/>
          <w:bCs/>
        </w:rPr>
        <w:t xml:space="preserve">Definition 8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26"/>
    <w:p>
      <w:pPr>
        <w:pStyle w:val="FirstParagraph"/>
      </w:pPr>
      <w:r>
        <w:t xml:space="preserve">Orthogonality generalizes the geometric notion of perpendicularity to arbitrary dimensions.</w:t>
      </w:r>
    </w:p>
    <w:bookmarkStart w:id="27" w:name="def-euclidean-norm"/>
    <w:p>
      <w:pPr>
        <w:pStyle w:val="BodyText"/>
      </w:pPr>
      <w:r>
        <w:rPr>
          <w:b/>
          <w:bCs/>
        </w:rPr>
        <w:t xml:space="preserve">Definition 9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</m:oMath>
      </m:oMathPara>
    </w:p>
    <w:bookmarkEnd w:id="27"/>
    <w:bookmarkStart w:id="28" w:name="exm-euclidean-norm"/>
    <w:p>
      <w:pPr>
        <w:pStyle w:val="FirstParagraph"/>
      </w:pPr>
      <w:r>
        <w:rPr>
          <w:b/>
          <w:bCs/>
        </w:rPr>
        <w:t xml:space="preserve">Example 3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bookmarkStart w:id="29" w:name="def-orthonormal-vectors"/>
    <w:p>
      <w:pPr>
        <w:pStyle w:val="BodyText"/>
      </w:pPr>
      <w:r>
        <w:rPr>
          <w:b/>
          <w:bCs/>
        </w:rPr>
        <w:t xml:space="preserve">Definition 10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29"/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form an orthonormal set.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35"/>
    <w:bookmarkEnd w:id="36"/>
    <w:bookmarkStart w:id="69" w:name="matrices"/>
    <w:p>
      <w:pPr>
        <w:pStyle w:val="Heading2"/>
      </w:pPr>
      <w:r>
        <w:t xml:space="preserve">2 Matrices</w:t>
      </w:r>
    </w:p>
    <w:bookmarkStart w:id="37" w:name="def-matrix"/>
    <w:p>
      <w:pPr>
        <w:pStyle w:val="FirstParagraph"/>
      </w:pPr>
      <w:r>
        <w:rPr>
          <w:b/>
          <w:bCs/>
        </w:rPr>
        <w:t xml:space="preserve">Definition 11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7"/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Start w:id="39" w:name="sec-matrix-transpose"/>
    <w:p>
      <w:pPr>
        <w:pStyle w:val="Heading3"/>
      </w:pPr>
      <w:r>
        <w:t xml:space="preserve">2.1 Matrix transpose</w:t>
      </w:r>
    </w:p>
    <w:bookmarkStart w:id="38" w:name="def-matrix-transpose"/>
    <w:p>
      <w:pPr>
        <w:pStyle w:val="FirstParagraph"/>
      </w:pPr>
      <w:r>
        <w:rPr>
          <w:b/>
          <w:bCs/>
        </w:rPr>
        <w:t xml:space="preserve">Definition 12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38"/>
    <w:bookmarkEnd w:id="39"/>
    <w:bookmarkStart w:id="46" w:name="matrix-addition"/>
    <w:p>
      <w:pPr>
        <w:pStyle w:val="Heading3"/>
      </w:pPr>
      <w:r>
        <w:t xml:space="preserve">2.2 Matrix addition</w:t>
      </w:r>
    </w:p>
    <w:bookmarkStart w:id="40" w:name="def-zero-matrix"/>
    <w:p>
      <w:pPr>
        <w:pStyle w:val="FirstParagraph"/>
      </w:pPr>
      <w:r>
        <w:rPr>
          <w:b/>
          <w:bCs/>
        </w:rPr>
        <w:t xml:space="preserve">Definition 13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def-matrix-addition"/>
    <w:p>
      <w:pPr>
        <w:pStyle w:val="FirstParagraph"/>
      </w:pPr>
      <w:r>
        <w:rPr>
          <w:b/>
          <w:bCs/>
        </w:rPr>
        <w:t xml:space="preserve">Definition 14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41"/>
    <w:bookmarkStart w:id="42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42"/>
    <w:bookmarkStart w:id="43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43"/>
    <w:bookmarkStart w:id="44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4"/>
    <w:bookmarkStart w:id="45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45"/>
    <w:bookmarkEnd w:id="46"/>
    <w:bookmarkStart w:id="48" w:name="scalar-multiplication"/>
    <w:p>
      <w:pPr>
        <w:pStyle w:val="Heading3"/>
      </w:pPr>
      <w:r>
        <w:t xml:space="preserve">2.3 Scalar multiplication</w:t>
      </w:r>
    </w:p>
    <w:bookmarkStart w:id="47" w:name="def-scalar-mult"/>
    <w:p>
      <w:pPr>
        <w:pStyle w:val="FirstParagraph"/>
      </w:pPr>
      <w:r>
        <w:rPr>
          <w:b/>
          <w:bCs/>
        </w:rPr>
        <w:t xml:space="preserve">Definition 15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47"/>
    <w:bookmarkEnd w:id="48"/>
    <w:bookmarkStart w:id="53" w:name="matrix-multiplication"/>
    <w:p>
      <w:pPr>
        <w:pStyle w:val="Heading3"/>
      </w:pPr>
      <w:r>
        <w:t xml:space="preserve">2.4 Matrix multiplication</w:t>
      </w:r>
    </w:p>
    <w:bookmarkStart w:id="49" w:name="def-matrix-mult"/>
    <w:p>
      <w:pPr>
        <w:pStyle w:val="FirstParagraph"/>
      </w:pPr>
      <w:r>
        <w:rPr>
          <w:b/>
          <w:bCs/>
        </w:rPr>
        <w:t xml:space="preserve">Definition 16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Start w:id="50" w:name="exm-dot-product-matmul"/>
    <w:p>
      <w:pPr>
        <w:pStyle w:val="BodyText"/>
      </w:pPr>
      <w:r>
        <w:rPr>
          <w:b/>
          <w:bCs/>
        </w:rPr>
        <w:t xml:space="preserve">Example 4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50"/>
    <w:bookmarkStart w:id="51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2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52"/>
    <w:bookmarkEnd w:id="53"/>
    <w:bookmarkStart w:id="55" w:name="matrix-vector-multiplication"/>
    <w:p>
      <w:pPr>
        <w:pStyle w:val="Heading3"/>
      </w:pPr>
      <w:r>
        <w:t xml:space="preserve">2.5 Matrix-vector multiplication</w:t>
      </w:r>
    </w:p>
    <w:bookmarkStart w:id="54" w:name="def-matvec-mult"/>
    <w:p>
      <w:pPr>
        <w:pStyle w:val="FirstParagraph"/>
      </w:pPr>
      <w:r>
        <w:rPr>
          <w:b/>
          <w:bCs/>
        </w:rPr>
        <w:t xml:space="preserve">Definition 17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4"/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5"/>
    <w:bookmarkStart w:id="58" w:name="transposes-of-sums-and-products"/>
    <w:p>
      <w:pPr>
        <w:pStyle w:val="Heading3"/>
      </w:pPr>
      <w:r>
        <w:t xml:space="preserve">2.6 Transposes of sums and products</w:t>
      </w:r>
    </w:p>
    <w:bookmarkStart w:id="56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57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p>
      <w:pPr>
        <w:pStyle w:val="FirstParagraph"/>
      </w:pPr>
      <w:r>
        <w:t xml:space="preserve">The order of the factors reverses when transposing a product.</w:t>
      </w:r>
    </w:p>
    <w:bookmarkEnd w:id="58"/>
    <w:bookmarkStart w:id="63" w:name="rank"/>
    <w:p>
      <w:pPr>
        <w:pStyle w:val="Heading3"/>
      </w:pPr>
      <w:r>
        <w:t xml:space="preserve">2.7 Rank</w:t>
      </w:r>
    </w:p>
    <w:bookmarkStart w:id="59" w:name="def-linearly-independent"/>
    <w:p>
      <w:pPr>
        <w:pStyle w:val="FirstParagraph"/>
      </w:pPr>
      <w:r>
        <w:rPr>
          <w:b/>
          <w:bCs/>
        </w:rPr>
        <w:t xml:space="preserve">Definition 18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9"/>
    <w:bookmarkStart w:id="60" w:name="exm-linearly-independent"/>
    <w:p>
      <w:pPr>
        <w:pStyle w:val="BodyText"/>
      </w:pPr>
      <w:r>
        <w:rPr>
          <w:b/>
          <w:bCs/>
        </w:rPr>
        <w:t xml:space="preserve">Example 5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bookmarkStart w:id="61" w:name="def-rank"/>
    <w:p>
      <w:pPr>
        <w:pStyle w:val="FirstParagraph"/>
      </w:pPr>
      <w:r>
        <w:rPr>
          <w:b/>
          <w:bCs/>
        </w:rPr>
        <w:t xml:space="preserve">Definition 19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61"/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rank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independent,</w:t>
      </w:r>
      <w:r>
        <w:t xml:space="preserve"> </w:t>
      </w:r>
      <w:r>
        <w:t xml:space="preserve">is said to have</w:t>
      </w:r>
      <w:r>
        <w:t xml:space="preserve"> </w:t>
      </w:r>
      <w:r>
        <w:rPr>
          <w:i/>
          <w:iCs/>
        </w:rPr>
        <w:t xml:space="preserve">full column rank</w:t>
      </w:r>
      <w:r>
        <w:t xml:space="preserve">;</w:t>
      </w:r>
      <w:r>
        <w:t xml:space="preserve"> </w:t>
      </w:r>
      <w:r>
        <w:t xml:space="preserve">that can only happen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</w:p>
    <w:bookmarkStart w:id="62" w:name="exm-rank"/>
    <w:p>
      <w:pPr>
        <w:pStyle w:val="BodyText"/>
      </w:pPr>
      <w:r>
        <w:rPr>
          <w:b/>
          <w:bCs/>
        </w:rPr>
        <w:t xml:space="preserve">Example 6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62"/>
    <w:bookmarkEnd w:id="63"/>
    <w:bookmarkStart w:id="68" w:name="outer-product"/>
    <w:p>
      <w:pPr>
        <w:pStyle w:val="Heading3"/>
      </w:pPr>
      <w:r>
        <w:t xml:space="preserve">2.8 Outer product</w:t>
      </w:r>
    </w:p>
    <w:bookmarkStart w:id="64" w:name="def-outer-product"/>
    <w:p>
      <w:pPr>
        <w:pStyle w:val="FirstParagraph"/>
      </w:pPr>
      <w:r>
        <w:rPr>
          <w:b/>
          <w:bCs/>
        </w:rPr>
        <w:t xml:space="preserve">Definition 20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64"/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bookmarkStart w:id="65" w:name="exm-outer-product"/>
    <w:p>
      <w:pPr>
        <w:pStyle w:val="BodyText"/>
      </w:pPr>
      <w:r>
        <w:rPr>
          <w:b/>
          <w:bCs/>
        </w:rPr>
        <w:t xml:space="preserve">Example 7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5"/>
    <w:bookmarkStart w:id="66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67" w:name="exm-outer-product-rank"/>
    <w:p>
      <w:pPr>
        <w:pStyle w:val="BodyText"/>
      </w:pPr>
      <w:r>
        <w:rPr>
          <w:b/>
          <w:bCs/>
        </w:rPr>
        <w:t xml:space="preserve">Example 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67"/>
    <w:bookmarkEnd w:id="68"/>
    <w:bookmarkEnd w:id="69"/>
    <w:bookmarkStart w:id="94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for the zero matrix.</w:t>
      </w:r>
    </w:p>
    <w:bookmarkStart w:id="70" w:name="def-square-matrix"/>
    <w:p>
      <w:pPr>
        <w:pStyle w:val="BodyText"/>
      </w:pPr>
      <w:r>
        <w:rPr>
          <w:b/>
          <w:bCs/>
        </w:rPr>
        <w:t xml:space="preserve">Definition 21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70"/>
    <w:bookmarkStart w:id="71" w:name="def-matrix-order"/>
    <w:p>
      <w:pPr>
        <w:pStyle w:val="BodyText"/>
      </w:pPr>
      <w:r>
        <w:rPr>
          <w:b/>
          <w:bCs/>
        </w:rPr>
        <w:t xml:space="preserve">Definition 22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71"/>
    <w:bookmarkStart w:id="72" w:name="def-matrix-power"/>
    <w:p>
      <w:pPr>
        <w:pStyle w:val="BodyText"/>
      </w:pPr>
      <w:r>
        <w:rPr>
          <w:b/>
          <w:bCs/>
        </w:rPr>
        <w:t xml:space="preserve">Definition 23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72"/>
    <w:bookmarkStart w:id="73" w:name="def-identity-matrix"/>
    <w:p>
      <w:pPr>
        <w:pStyle w:val="BodyText"/>
      </w:pPr>
      <w:r>
        <w:rPr>
          <w:b/>
          <w:bCs/>
        </w:rPr>
        <w:t xml:space="preserve">Definition 24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73"/>
    <w:bookmarkStart w:id="74" w:name="thm-identity"/>
    <w:p>
      <w:pPr>
        <w:pStyle w:val="FirstParagraph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74"/>
    <w:bookmarkStart w:id="75" w:name="def-symmetric-matrix"/>
    <w:p>
      <w:pPr>
        <w:pStyle w:val="FirstParagraph"/>
      </w:pPr>
      <w:r>
        <w:rPr>
          <w:b/>
          <w:bCs/>
        </w:rPr>
        <w:t xml:space="preserve">Definition 25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t xml:space="preserve">Covariance matrices and information matrices are symmetric.</w:t>
      </w:r>
    </w:p>
    <w:bookmarkStart w:id="76" w:name="def-diagonal-matrix"/>
    <w:p>
      <w:pPr>
        <w:pStyle w:val="BodyText"/>
      </w:pPr>
      <w:r>
        <w:rPr>
          <w:b/>
          <w:bCs/>
        </w:rPr>
        <w:t xml:space="preserve">Definition 26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76"/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bookmarkStart w:id="77" w:name="def-matrix-inverse"/>
    <w:p>
      <w:pPr>
        <w:pStyle w:val="BodyText"/>
      </w:pPr>
      <w:r>
        <w:rPr>
          <w:b/>
          <w:bCs/>
        </w:rPr>
        <w:t xml:space="preserve">Definition 27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77"/>
    <w:bookmarkStart w:id="78" w:name="def-invertible-matrix"/>
    <w:p>
      <w:pPr>
        <w:pStyle w:val="FirstParagraph"/>
      </w:pPr>
      <w:r>
        <w:rPr>
          <w:b/>
          <w:bCs/>
        </w:rPr>
        <w:t xml:space="preserve">Definition 28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78"/>
    <w:bookmarkStart w:id="79" w:name="exm-invertible-matrix"/>
    <w:p>
      <w:pPr>
        <w:pStyle w:val="BodyText"/>
      </w:pPr>
      <w:r>
        <w:rPr>
          <w:b/>
          <w:bCs/>
        </w:rPr>
        <w:t xml:space="preserve">Example 9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79"/>
    <w:bookmarkStart w:id="80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81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2" w:name="exm-inverse-transpose"/>
    <w:p>
      <w:pPr>
        <w:pStyle w:val="BodyText"/>
      </w:pPr>
      <w:r>
        <w:rPr>
          <w:b/>
          <w:bCs/>
        </w:rPr>
        <w:t xml:space="preserve">Example 10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2"/>
    <w:bookmarkStart w:id="83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84" w:name="exm-inverse-symmetric"/>
    <w:p>
      <w:pPr>
        <w:pStyle w:val="BodyText"/>
      </w:pPr>
      <w:r>
        <w:rPr>
          <w:b/>
          <w:bCs/>
        </w:rPr>
        <w:t xml:space="preserve">Example 11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84"/>
    <w:bookmarkStart w:id="85" w:name="def-idempotent-matrix"/>
    <w:p>
      <w:pPr>
        <w:pStyle w:val="BodyText"/>
      </w:pPr>
      <w:r>
        <w:rPr>
          <w:b/>
          <w:bCs/>
        </w:rPr>
        <w:t xml:space="preserve">Definition 29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85"/>
    <w:bookmarkStart w:id="86" w:name="def-projection-matrix"/>
    <w:p>
      <w:pPr>
        <w:pStyle w:val="FirstParagraph"/>
      </w:pPr>
      <w:r>
        <w:rPr>
          <w:b/>
          <w:bCs/>
        </w:rPr>
        <w:t xml:space="preserve">Definition 30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29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86"/>
    <w:p>
      <w:pPr>
        <w:pStyle w:val="FirstParagraph"/>
      </w:pPr>
      <w:r>
        <w:t xml:space="preserve">Any idempotent matrix is called a</w:t>
      </w:r>
      <w:r>
        <w:t xml:space="preserve"> </w:t>
      </w:r>
      <w:r>
        <w:rPr>
          <w:i/>
          <w:iCs/>
        </w:rPr>
        <w:t xml:space="preserve">projection matrix</w:t>
      </w:r>
      <w:r>
        <w:t xml:space="preserve">;</w:t>
      </w:r>
      <w:r>
        <w:t xml:space="preserve"> </w:t>
      </w:r>
      <w:r>
        <w:t xml:space="preserve">an idempotent matrix that is not symmetric is an</w:t>
      </w:r>
      <w:r>
        <w:t xml:space="preserve"> </w:t>
      </w:r>
      <w:r>
        <w:rPr>
          <w:i/>
          <w:iCs/>
        </w:rPr>
        <w:t xml:space="preserve">oblique</w:t>
      </w:r>
      <w:r>
        <w:t xml:space="preserve"> </w:t>
      </w:r>
      <w:r>
        <w:t xml:space="preserve">projection.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.</w:t>
      </w:r>
    </w:p>
    <w:bookmarkStart w:id="87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87"/>
    <w:bookmarkStart w:id="88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89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90" w:name="def-orthogonal-matrix"/>
    <w:p>
      <w:pPr>
        <w:pStyle w:val="BodyText"/>
      </w:pPr>
      <w:r>
        <w:rPr>
          <w:b/>
          <w:bCs/>
        </w:rPr>
        <w:t xml:space="preserve">Definition 31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90"/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bookmarkStart w:id="91" w:name="exm-orthogonal-matrix"/>
    <w:p>
      <w:pPr>
        <w:pStyle w:val="BodyText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1"/>
    <w:bookmarkStart w:id="92" w:name="thm-orthogonal-norm"/>
    <w:p>
      <w:pPr>
        <w:pStyle w:val="FirstParagraph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93" w:name="exm-orthogonal-norm"/>
    <w:p>
      <w:pPr>
        <w:pStyle w:val="BodyText"/>
      </w:pPr>
      <w:r>
        <w:rPr>
          <w:b/>
          <w:bCs/>
        </w:rPr>
        <w:t xml:space="preserve">Example 14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93"/>
    <w:bookmarkEnd w:id="94"/>
    <w:bookmarkStart w:id="102" w:name="quadratic-forms"/>
    <w:p>
      <w:pPr>
        <w:pStyle w:val="Heading2"/>
      </w:pPr>
      <w:r>
        <w:t xml:space="preserve">4 Quadratic Forms</w:t>
      </w:r>
    </w:p>
    <w:bookmarkStart w:id="95" w:name="def-quadratic-form"/>
    <w:p>
      <w:pPr>
        <w:pStyle w:val="FirstParagraph"/>
      </w:pPr>
      <w:r>
        <w:rPr>
          <w:b/>
          <w:bCs/>
        </w:rPr>
        <w:t xml:space="preserve">Definition 32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95"/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9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9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98" w:name="def-symmetric-part"/>
    <w:p>
      <w:pPr>
        <w:pStyle w:val="FirstParagraph"/>
      </w:pPr>
      <w:r>
        <w:rPr>
          <w:b/>
          <w:bCs/>
        </w:rPr>
        <w:t xml:space="preserve">Definition 33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98"/>
    <w:bookmarkStart w:id="99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99"/>
    <w:bookmarkStart w:id="100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33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01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01"/>
    <w:bookmarkEnd w:id="102"/>
    <w:bookmarkStart w:id="112" w:name="trace-and-matrix-inner-product"/>
    <w:p>
      <w:pPr>
        <w:pStyle w:val="Heading2"/>
      </w:pPr>
      <w:r>
        <w:t xml:space="preserve">5 Trace and Matrix Inner Product</w:t>
      </w:r>
    </w:p>
    <w:bookmarkStart w:id="103" w:name="def-trace"/>
    <w:p>
      <w:pPr>
        <w:pStyle w:val="FirstParagraph"/>
      </w:pPr>
      <w:r>
        <w:rPr>
          <w:b/>
          <w:bCs/>
        </w:rPr>
        <w:t xml:space="preserve">Definition 34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03"/>
    <w:bookmarkStart w:id="104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04"/>
    <w:bookmarkStart w:id="105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need not have the same size,</w:t>
      </w:r>
      <w:r>
        <w:t xml:space="preserve"> </w:t>
      </w:r>
      <w:r>
        <w:t xml:space="preserve">so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can equate the traces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 it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product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moves the last factor of a triple product to the front: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(Banerjee and Roy 2014, chap. 1, Theorem 1.5 and eq. 1.17, p. 19)</w:t>
      </w:r>
      <w:r>
        <w:t xml:space="preserve">.</w:t>
      </w:r>
    </w:p>
    <w:bookmarkStart w:id="106" w:name="exm-trace-cyclic"/>
    <w:p>
      <w:pPr>
        <w:pStyle w:val="BodyText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06"/>
    <w:bookmarkStart w:id="107" w:name="def-matrix-inner-product"/>
    <w:p>
      <w:pPr>
        <w:pStyle w:val="BodyText"/>
      </w:pPr>
      <w:r>
        <w:rPr>
          <w:b/>
          <w:bCs/>
        </w:rPr>
        <w:t xml:space="preserve">Definition 35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07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08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p>
      <w:pPr>
        <w:pStyle w:val="FirstParagraph"/>
      </w:pP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.</w:t>
      </w:r>
    </w:p>
    <w:bookmarkStart w:id="109" w:name="exm-matrix-inner-product"/>
    <w:p>
      <w:pPr>
        <w:pStyle w:val="BodyText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35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9"/>
    <w:bookmarkStart w:id="110" w:name="def-frobenius-norm"/>
    <w:p>
      <w:pPr>
        <w:pStyle w:val="FirstParagraph"/>
      </w:pPr>
      <w:r>
        <w:rPr>
          <w:b/>
          <w:bCs/>
        </w:rPr>
        <w:t xml:space="preserve">Definition 36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35</w:t>
        </w:r>
      </w:hyperlink>
      <w:r>
        <w:t xml:space="preserve">).</w:t>
      </w:r>
    </w:p>
    <w:bookmarkEnd w:id="110"/>
    <w:p>
      <w:pPr>
        <w:pStyle w:val="BodyText"/>
      </w:pP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bookmarkStart w:id="111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11"/>
    <w:bookmarkEnd w:id="112"/>
    <w:bookmarkStart w:id="124" w:name="matrix-decompositions"/>
    <w:p>
      <w:pPr>
        <w:pStyle w:val="Heading2"/>
      </w:pPr>
      <w:r>
        <w:t xml:space="preserve">6 Matrix Decompositions</w:t>
      </w:r>
    </w:p>
    <w:bookmarkStart w:id="113" w:name="def-eigenvalue"/>
    <w:p>
      <w:pPr>
        <w:pStyle w:val="FirstParagraph"/>
      </w:pPr>
      <w:r>
        <w:rPr>
          <w:b/>
          <w:bCs/>
        </w:rPr>
        <w:t xml:space="preserve">Definition 37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13"/>
    <w:p>
      <w:pPr>
        <w:pStyle w:val="BodyText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bookmarkStart w:id="114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15"/>
    <w:bookmarkStart w:id="116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26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:</w:t>
      </w:r>
      <w:r>
        <w:t xml:space="preserve">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right.</w:t>
      </w:r>
    </w:p>
    <w:bookmarkStart w:id="117" w:name="def-eigendecomposition"/>
    <w:p>
      <w:pPr>
        <w:pStyle w:val="BodyText"/>
      </w:pPr>
      <w:r>
        <w:rPr>
          <w:b/>
          <w:bCs/>
        </w:rPr>
        <w:t xml:space="preserve">Definition 38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17"/>
    <w:p>
      <w:pPr>
        <w:pStyle w:val="BodyText"/>
      </w:pPr>
      <w:r>
        <w:t xml:space="preserve">An eigendecomposition is not unique.</w:t>
      </w:r>
      <w:r>
        <w:t xml:space="preserve"> </w:t>
      </w:r>
      <w:r>
        <w:t xml:space="preserve">For example, 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1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8"/>
    <w:bookmarkStart w:id="119" w:name="thm-svd"/>
    <w:p>
      <w:pPr>
        <w:pStyle w:val="BodyText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p>
      <w:pPr>
        <w:pStyle w:val="BodyText"/>
      </w:pP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bookmarkStart w:id="120" w:name="def-svd"/>
    <w:p>
      <w:pPr>
        <w:pStyle w:val="BodyText"/>
      </w:pPr>
      <w:r>
        <w:rPr>
          <w:b/>
          <w:bCs/>
        </w:rPr>
        <w:t xml:space="preserve">Definition 39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0"/>
    <w:p>
      <w:pPr>
        <w:pStyle w:val="BodyText"/>
      </w:pP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example, 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bookmarkStart w:id="121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1"/>
    <w:bookmarkStart w:id="122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39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38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bookmarkStart w:id="123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3"/>
    <w:bookmarkEnd w:id="124"/>
    <w:bookmarkStart w:id="132" w:name="design-matrix"/>
    <w:p>
      <w:pPr>
        <w:pStyle w:val="Heading2"/>
      </w:pPr>
      <w:r>
        <w:t xml:space="preserve">7 Design Matrix</w:t>
      </w:r>
    </w:p>
    <w:bookmarkStart w:id="125" w:name="def-design-matrix"/>
    <w:p>
      <w:pPr>
        <w:pStyle w:val="FirstParagraph"/>
      </w:pPr>
      <w:r>
        <w:rPr>
          <w:b/>
          <w:bCs/>
        </w:rPr>
        <w:t xml:space="preserve">Definition 40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25"/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26" w:name="thm-gram-invertible"/>
    <w:p>
      <w:pPr>
        <w:pStyle w:val="BodyText"/>
      </w:pPr>
      <w:r>
        <w:rPr>
          <w:b/>
          <w:bCs/>
        </w:rPr>
        <w:t xml:space="preserve">Theorem 24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27" w:name="exm-gram-invertible"/>
    <w:p>
      <w:pPr>
        <w:pStyle w:val="BodyText"/>
      </w:pPr>
      <w:r>
        <w:rPr>
          <w:b/>
          <w:bCs/>
        </w:rPr>
        <w:t xml:space="preserve">Example 26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27"/>
    <w:bookmarkStart w:id="128" w:name="def-hat-matrix"/>
    <w:p>
      <w:pPr>
        <w:pStyle w:val="BodyText"/>
      </w:pPr>
      <w:r>
        <w:rPr>
          <w:b/>
          <w:bCs/>
        </w:rPr>
        <w:t xml:space="preserve">Definition 41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128"/>
    <w:bookmarkStart w:id="129" w:name="exm-hat-matrix"/>
    <w:p>
      <w:pPr>
        <w:pStyle w:val="BodyText"/>
      </w:pPr>
      <w:r>
        <w:rPr>
          <w:b/>
          <w:bCs/>
        </w:rPr>
        <w:t xml:space="preserve">Example 27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129"/>
    <w:bookmarkStart w:id="130" w:name="thm-hat-matrix"/>
    <w:p>
      <w:pPr>
        <w:pStyle w:val="BodyText"/>
      </w:pPr>
      <w:r>
        <w:rPr>
          <w:b/>
          <w:bCs/>
        </w:rPr>
        <w:t xml:space="preserve">Theorem 25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hat-matrix-projection"/>
    <w:p>
      <w:pPr>
        <w:pStyle w:val="FirstParagraph"/>
      </w:pPr>
      <w:r>
        <w:rPr>
          <w:b/>
          <w:bCs/>
        </w:rPr>
        <w:t xml:space="preserve">Example 28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says.</w:t>
      </w:r>
    </w:p>
    <w:bookmarkEnd w:id="131"/>
    <w:p>
      <w:pPr>
        <w:pStyle w:val="BodyText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bookmarkEnd w:id="132"/>
    <w:bookmarkStart w:id="133" w:name="sec-additional-resources"/>
    <w:p>
      <w:pPr>
        <w:pStyle w:val="Heading2"/>
      </w:pPr>
      <w:r>
        <w:t xml:space="preserve">8 Additional resources</w:t>
      </w:r>
    </w:p>
    <w:p>
      <w:pPr>
        <w:pStyle w:val="Compact"/>
        <w:numPr>
          <w:ilvl w:val="0"/>
          <w:numId w:val="1004"/>
        </w:numPr>
      </w:pPr>
      <w:r>
        <w:t xml:space="preserve">Fieller (2016)</w:t>
      </w:r>
    </w:p>
    <w:p>
      <w:pPr>
        <w:pStyle w:val="Compact"/>
        <w:numPr>
          <w:ilvl w:val="0"/>
          <w:numId w:val="1004"/>
        </w:numPr>
      </w:pPr>
      <w:r>
        <w:t xml:space="preserve">Banerjee and Roy (2014)</w:t>
      </w:r>
    </w:p>
    <w:p>
      <w:pPr>
        <w:pStyle w:val="Compact"/>
        <w:numPr>
          <w:ilvl w:val="0"/>
          <w:numId w:val="1004"/>
        </w:numPr>
      </w:pPr>
      <w:r>
        <w:t xml:space="preserve">Searle and Khuri (2017)</w:t>
      </w:r>
    </w:p>
    <w:bookmarkEnd w:id="133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35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35"/>
    <w:bookmarkStart w:id="1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7"/>
    <w:bookmarkStart w:id="13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3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4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43"/>
    <w:bookmarkStart w:id="144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30" Target="media/rId30.png" /><Relationship Type="http://schemas.openxmlformats.org/officeDocument/2006/relationships/hyperlink" Id="rId136" Target="https://doi.org/10.1201/9781315182780" TargetMode="External" /><Relationship Type="http://schemas.openxmlformats.org/officeDocument/2006/relationships/hyperlink" Id="rId138" Target="https://doi.org/10.1201/9781315370200" TargetMode="External" /><Relationship Type="http://schemas.openxmlformats.org/officeDocument/2006/relationships/hyperlink" Id="rId18" Target="https://en.wikipedia.org/wiki/Dot_product#Dyadics_and_matrices" TargetMode="External" /><Relationship Type="http://schemas.openxmlformats.org/officeDocument/2006/relationships/hyperlink" Id="rId17" Target="https://en.wikipedia.org/wiki/Linear_combination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33" Target="https://facultyweb.cs.wwu.edu/~hutchib2/video_lectures/data371/#linear_function_basics" TargetMode="External" /><Relationship Type="http://schemas.openxmlformats.org/officeDocument/2006/relationships/hyperlink" Id="rId97" Target="https://morrison-lab.github.io/rme/chapters/Linear-models-overview.html#sec-infer-LMs" TargetMode="External" /><Relationship Type="http://schemas.openxmlformats.org/officeDocument/2006/relationships/hyperlink" Id="rId34" Target="https://wwu.instructure.com/courses/1906010/modules#module_3922392" TargetMode="External" /><Relationship Type="http://schemas.openxmlformats.org/officeDocument/2006/relationships/hyperlink" Id="rId142" Target="https://www.mosaic-web.org" TargetMode="External" /><Relationship Type="http://schemas.openxmlformats.org/officeDocument/2006/relationships/hyperlink" Id="rId134" Target="https://www.routledge.com/Linear-Algebra-and-Matrix-Analysis-for-Statistics/Banerjee-Roy/p/book/9781420095388" TargetMode="External" /><Relationship Type="http://schemas.openxmlformats.org/officeDocument/2006/relationships/hyperlink" Id="rId9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doi.org/10.1201/9781315182780" TargetMode="External" /><Relationship Type="http://schemas.openxmlformats.org/officeDocument/2006/relationships/hyperlink" Id="rId138" Target="https://doi.org/10.1201/9781315370200" TargetMode="External" /><Relationship Type="http://schemas.openxmlformats.org/officeDocument/2006/relationships/hyperlink" Id="rId18" Target="https://en.wikipedia.org/wiki/Dot_product#Dyadics_and_matrices" TargetMode="External" /><Relationship Type="http://schemas.openxmlformats.org/officeDocument/2006/relationships/hyperlink" Id="rId17" Target="https://en.wikipedia.org/wiki/Linear_combination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33" Target="https://facultyweb.cs.wwu.edu/~hutchib2/video_lectures/data371/#linear_function_basics" TargetMode="External" /><Relationship Type="http://schemas.openxmlformats.org/officeDocument/2006/relationships/hyperlink" Id="rId97" Target="https://morrison-lab.github.io/rme/chapters/Linear-models-overview.html#sec-infer-LMs" TargetMode="External" /><Relationship Type="http://schemas.openxmlformats.org/officeDocument/2006/relationships/hyperlink" Id="rId34" Target="https://wwu.instructure.com/courses/1906010/modules#module_3922392" TargetMode="External" /><Relationship Type="http://schemas.openxmlformats.org/officeDocument/2006/relationships/hyperlink" Id="rId142" Target="https://www.mosaic-web.org" TargetMode="External" /><Relationship Type="http://schemas.openxmlformats.org/officeDocument/2006/relationships/hyperlink" Id="rId134" Target="https://www.routledge.com/Linear-Algebra-and-Matrix-Analysis-for-Statistics/Banerjee-Roy/p/book/9781420095388" TargetMode="External" /><Relationship Type="http://schemas.openxmlformats.org/officeDocument/2006/relationships/hyperlink" Id="rId9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2026-09-28T23:07:05Z</dcterms:created>
  <dcterms:modified xsi:type="dcterms:W3CDTF">2026-09-28T23:07:05Z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16:01:14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