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2026-10-02 01:27:22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6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t xml:space="preserve">Not every set has a minimum.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none: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  <w:r>
        <w:t xml:space="preserve"> </w:t>
      </w:r>
      <w:r>
        <w:t xml:space="preserve">In</w:t>
      </w:r>
      <w:r>
        <w:t xml:space="preserve"> </w:t>
      </w:r>
      <w:hyperlink w:anchor="exr-min-and-argmi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Start w:id="21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"/>
    <w:bookmarkStart w:id="23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3"/>
    <w:p>
      <w:pPr>
        <w:pStyle w:val="BodyText"/>
      </w:pP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In</w:t>
      </w:r>
      <w:r>
        <w:t xml:space="preserve"> </w:t>
      </w:r>
      <w:hyperlink w:anchor="exr-min-and-argmi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Start w:id="25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5"/>
    <w:bookmarkEnd w:id="26"/>
    <w:bookmarkStart w:id="32" w:name="sec-minimizers"/>
    <w:p>
      <w:pPr>
        <w:pStyle w:val="Heading2"/>
      </w:pPr>
      <w:r>
        <w:t xml:space="preserve">4 Global and local minimizers</w:t>
      </w:r>
    </w:p>
    <w:bookmarkStart w:id="2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7"/>
    <w:bookmarkStart w:id="2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9"/>
    <w:p>
      <w:pPr>
        <w:pStyle w:val="BodyText"/>
      </w:pP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global minimizer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31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1"/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2"/>
    <w:bookmarkStart w:id="37" w:name="sec-convexity"/>
    <w:p>
      <w:pPr>
        <w:pStyle w:val="Heading2"/>
      </w:pPr>
      <w:r>
        <w:t xml:space="preserve">5 Convex functions</w:t>
      </w:r>
    </w:p>
    <w:bookmarkStart w:id="33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33"/>
    <w:bookmarkStart w:id="3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34"/>
    <w:bookmarkStart w:id="35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35"/>
    <w:p>
      <w:pPr>
        <w:pStyle w:val="BodyText"/>
      </w:pP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  <w:r>
        <w:t xml:space="preserve"> </w:t>
      </w:r>
      <w:r>
        <w:t xml:space="preserve">In</w:t>
      </w:r>
      <w:r>
        <w:t xml:space="preserve"> </w:t>
      </w:r>
      <w:hyperlink w:anchor="exr-convex-chor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one instance of the inequality.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Start w:id="3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36"/>
    <w:p>
      <w:pPr>
        <w:pStyle w:val="BodyText"/>
      </w:pP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</w:t>
      </w:r>
      <w:r>
        <w:t xml:space="preserve"> </w:t>
      </w:r>
      <w:r>
        <w:t xml:space="preserve">(by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theorem says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global minimizer,</w:t>
      </w:r>
      <w:r>
        <w:t xml:space="preserve"> </w:t>
      </w:r>
      <w:r>
        <w:t xml:space="preserve">which is also visible directly: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theorem fails without convexity: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37"/>
    <w:bookmarkStart w:id="42" w:name="infimum-and-supremum"/>
    <w:p>
      <w:pPr>
        <w:pStyle w:val="Heading2"/>
      </w:pPr>
      <w:r>
        <w:t xml:space="preserve">6 Infimum and supremum</w:t>
      </w:r>
    </w:p>
    <w:bookmarkStart w:id="38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38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39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39"/>
    <w:bookmarkStart w:id="40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41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1"/>
    <w:bookmarkEnd w:id="42"/>
    <w:bookmarkStart w:id="46" w:name="sums"/>
    <w:p>
      <w:pPr>
        <w:pStyle w:val="Heading2"/>
      </w:pPr>
      <w:r>
        <w:t xml:space="preserve">7 Sums</w:t>
      </w:r>
    </w:p>
    <w:bookmarkStart w:id="43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43"/>
    <w:bookmarkStart w:id="44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44"/>
    <w:bookmarkStart w:id="45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45"/>
    <w:bookmarkEnd w:id="46"/>
    <w:bookmarkStart w:id="50" w:name="products"/>
    <w:p>
      <w:pPr>
        <w:pStyle w:val="Heading2"/>
      </w:pPr>
      <w:r>
        <w:t xml:space="preserve">8 Products</w:t>
      </w:r>
    </w:p>
    <w:bookmarkStart w:id="47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47"/>
    <w:bookmarkStart w:id="48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48"/>
    <w:bookmarkStart w:id="49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49"/>
    <w:bookmarkEnd w:id="50"/>
    <w:bookmarkStart w:id="52" w:name="division"/>
    <w:p>
      <w:pPr>
        <w:pStyle w:val="Heading2"/>
      </w:pPr>
      <w:r>
        <w:t xml:space="preserve">9 Division</w:t>
      </w:r>
    </w:p>
    <w:bookmarkStart w:id="51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51"/>
    <w:bookmarkEnd w:id="52"/>
    <w:bookmarkStart w:id="57" w:name="sums-and-products-together"/>
    <w:p>
      <w:pPr>
        <w:pStyle w:val="Heading2"/>
      </w:pPr>
      <w:r>
        <w:t xml:space="preserve">10 Sums and products together</w:t>
      </w:r>
    </w:p>
    <w:bookmarkStart w:id="53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53"/>
    <w:bookmarkStart w:id="54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54"/>
    <w:bookmarkStart w:id="55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55"/>
    <w:bookmarkStart w:id="56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</w:p>
    <w:bookmarkEnd w:id="57"/>
    <w:bookmarkStart w:id="65" w:name="sec-summation"/>
    <w:p>
      <w:pPr>
        <w:pStyle w:val="Heading2"/>
      </w:pPr>
      <w:r>
        <w:t xml:space="preserve">11 Summation notation</w:t>
      </w:r>
    </w:p>
    <w:bookmarkStart w:id="58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09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58"/>
    <w:bookmarkStart w:id="59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59"/>
    <w:bookmarkStart w:id="60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60"/>
    <w:p>
      <w:pPr>
        <w:pStyle w:val="BodyText"/>
      </w:pPr>
      <w:r>
        <w:t xml:space="preserve">The index is a placeholder: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When the upper limit is less than the lower limit,</w:t>
      </w:r>
      <w:r>
        <w:t xml:space="preserve"> </w:t>
      </w:r>
      <w:r>
        <w:t xml:space="preserve">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Start w:id="61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61"/>
    <w:bookmarkStart w:id="62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62"/>
    <w:bookmarkStart w:id="63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64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End w:id="65"/>
    <w:bookmarkStart w:id="77" w:name="quotients"/>
    <w:p>
      <w:pPr>
        <w:pStyle w:val="Heading2"/>
      </w:pPr>
      <w:r>
        <w:t xml:space="preserve">12 Quotients</w:t>
      </w:r>
    </w:p>
    <w:bookmarkStart w:id="66" w:name="def-quotient"/>
    <w:p>
      <w:pPr>
        <w:pStyle w:val="FirstParagraph"/>
      </w:pPr>
      <w:r>
        <w:rPr>
          <w:b/>
          <w:bCs/>
        </w:rPr>
        <w:t xml:space="preserve">Definition 11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66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67">
        <w:r>
          <w:rPr>
            <w:rStyle w:val="Hyperlink"/>
          </w:rPr>
          <w:t xml:space="preserve">https://en.wikipedia.org/wiki/Rate_(mathematics)</w:t>
        </w:r>
      </w:hyperlink>
    </w:p>
    <w:bookmarkStart w:id="68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 a nonzero denominator.</w:t>
      </w:r>
    </w:p>
    <w:bookmarkEnd w:id="68"/>
    <w:bookmarkStart w:id="70" w:name="def-ratio"/>
    <w:p>
      <w:pPr>
        <w:pStyle w:val="BodyText"/>
      </w:pPr>
      <w:r>
        <w:rPr>
          <w:b/>
          <w:bCs/>
        </w:rPr>
        <w:t xml:space="preserve">Definition 12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69">
        <w:r>
          <w:rPr>
            <w:rStyle w:val="Hyperlink"/>
          </w:rPr>
          <w:t xml:space="preserve">https://en.wikipedia.org/wiki/Ratio</w:t>
        </w:r>
      </w:hyperlink>
    </w:p>
    <w:bookmarkEnd w:id="70"/>
    <w:bookmarkStart w:id="73" w:name="def-proportion"/>
    <w:p>
      <w:pPr>
        <w:pStyle w:val="BodyText"/>
      </w:pPr>
      <w:r>
        <w:rPr>
          <w:b/>
          <w:bCs/>
        </w:rPr>
        <w:t xml:space="preserve">Definition 13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71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72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73"/>
    <w:bookmarkStart w:id="75" w:name="def-proportional"/>
    <w:p>
      <w:pPr>
        <w:pStyle w:val="BodyText"/>
      </w:pPr>
      <w:r>
        <w:rPr>
          <w:b/>
          <w:bCs/>
        </w:rPr>
        <w:t xml:space="preserve">Definition 14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74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75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77"/>
    <w:bookmarkStart w:id="96" w:name="exponentials-and-logarithms"/>
    <w:p>
      <w:pPr>
        <w:pStyle w:val="Heading2"/>
      </w:pPr>
      <w:r>
        <w:t xml:space="preserve">13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78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8"/>
    <w:bookmarkStart w:id="79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9"/>
    <w:bookmarkStart w:id="8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1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1"/>
    <w:bookmarkStart w:id="82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2"/>
    <w:bookmarkStart w:id="83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3"/>
    <w:bookmarkStart w:id="84" w:name="thm-double-exp"/>
    <w:p>
      <w:pPr>
        <w:pStyle w:val="FirstParagraph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84"/>
    <w:bookmarkStart w:id="85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5"/>
    <w:bookmarkStart w:id="8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86"/>
    <w:bookmarkStart w:id="87" w:name="exr-exp-vs-mult"/>
    <w:p>
      <w:pPr>
        <w:pStyle w:val="FirstParagraph"/>
      </w:pPr>
      <w:r>
        <w:rPr>
          <w:b/>
          <w:bCs/>
        </w:rPr>
        <w:t xml:space="preserve">Exercise 7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90" w:name="sol-exp-vs-mult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89"/>
        </w:tc>
      </w:tr>
    </w:tbl>
    <w:bookmarkEnd w:id="90"/>
    <w:bookmarkStart w:id="91" w:name="exr-double-exponential"/>
    <w:p>
      <w:pPr>
        <w:pStyle w:val="BodyText"/>
      </w:pPr>
      <w:r>
        <w:rPr>
          <w:b/>
          <w:bCs/>
        </w:rPr>
        <w:t xml:space="preserve">Exercise 8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7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Start w:id="95" w:name="refs"/>
    <w:bookmarkStart w:id="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1" Target="https://en.wikipedia.org/wiki/Population_proportion" TargetMode="External" /><Relationship Type="http://schemas.openxmlformats.org/officeDocument/2006/relationships/hyperlink" Id="rId76" Target="https://en.wikipedia.org/wiki/Population_proportion#Mathematical_definition" TargetMode="External" /><Relationship Type="http://schemas.openxmlformats.org/officeDocument/2006/relationships/hyperlink" Id="rId72" Target="https://en.wikipedia.org/wiki/Proportion_(mathematics)" TargetMode="External" /><Relationship Type="http://schemas.openxmlformats.org/officeDocument/2006/relationships/hyperlink" Id="rId74" Target="https://en.wikipedia.org/wiki/Proportionality_(mathematics)" TargetMode="External" /><Relationship Type="http://schemas.openxmlformats.org/officeDocument/2006/relationships/hyperlink" Id="rId67" Target="https://en.wikipedia.org/wiki/Rate_(mathematics)" TargetMode="External" /><Relationship Type="http://schemas.openxmlformats.org/officeDocument/2006/relationships/hyperlink" Id="rId69" Target="https://en.wikipedia.org/wiki/Ratio" TargetMode="External" /><Relationship Type="http://schemas.openxmlformats.org/officeDocument/2006/relationships/hyperlink" Id="rId30" Target="linear-algebra.qmd#def-euclidean-norm" TargetMode="External" /><Relationship Type="http://schemas.openxmlformats.org/officeDocument/2006/relationships/hyperlink" Id="rId22" Target="sets-functions.qmd#def-function" TargetMode="External" /><Relationship Type="http://schemas.openxmlformats.org/officeDocument/2006/relationships/hyperlink" Id="rId24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1" Target="https://en.wikipedia.org/wiki/Population_proportion" TargetMode="External" /><Relationship Type="http://schemas.openxmlformats.org/officeDocument/2006/relationships/hyperlink" Id="rId76" Target="https://en.wikipedia.org/wiki/Population_proportion#Mathematical_definition" TargetMode="External" /><Relationship Type="http://schemas.openxmlformats.org/officeDocument/2006/relationships/hyperlink" Id="rId72" Target="https://en.wikipedia.org/wiki/Proportion_(mathematics)" TargetMode="External" /><Relationship Type="http://schemas.openxmlformats.org/officeDocument/2006/relationships/hyperlink" Id="rId74" Target="https://en.wikipedia.org/wiki/Proportionality_(mathematics)" TargetMode="External" /><Relationship Type="http://schemas.openxmlformats.org/officeDocument/2006/relationships/hyperlink" Id="rId67" Target="https://en.wikipedia.org/wiki/Rate_(mathematics)" TargetMode="External" /><Relationship Type="http://schemas.openxmlformats.org/officeDocument/2006/relationships/hyperlink" Id="rId69" Target="https://en.wikipedia.org/wiki/Ratio" TargetMode="External" /><Relationship Type="http://schemas.openxmlformats.org/officeDocument/2006/relationships/hyperlink" Id="rId30" Target="linear-algebra.qmd#def-euclidean-norm" TargetMode="External" /><Relationship Type="http://schemas.openxmlformats.org/officeDocument/2006/relationships/hyperlink" Id="rId22" Target="sets-functions.qmd#def-function" TargetMode="External" /><Relationship Type="http://schemas.openxmlformats.org/officeDocument/2006/relationships/hyperlink" Id="rId24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2026-10-02T08:31:53Z</dcterms:created>
  <dcterms:modified xsi:type="dcterms:W3CDTF">2026-10-02T08:31:53Z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01:27:22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