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50.png" ContentType="image/png"/>
  <Override PartName="/word/media/rId26.png" ContentType="image/png"/>
  <Override PartName="/word/media/rId22.png" ContentType="image/png"/>
  <Override PartName="/word/media/rId89.png" ContentType="image/png"/>
  <Override PartName="/word/media/rId85.png" ContentType="image/png"/>
  <Override PartName="/word/media/rId72.png" ContentType="image/png"/>
  <Override PartName="/word/media/rId76.png" ContentType="image/png"/>
  <Override PartName="/word/media/rId57.png" ContentType="image/png"/>
  <Override PartName="/word/media/rId102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2026-09-28 03:31:56 (PDT)</w:t>
      </w:r>
    </w:p>
    <w:bookmarkStart w:id="19" w:name="sec-derivatives"/>
    <w:p>
      <w:pPr>
        <w:pStyle w:val="Heading2"/>
      </w:pPr>
      <w:r>
        <w:t xml:space="preserve">1 Derivatives</w:t>
      </w:r>
    </w:p>
    <w:bookmarkStart w:id="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"/>
    <w:bookmarkStart w:id="10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10"/>
    <w:bookmarkStart w:id="11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thm-deriv-log"/>
    <w:p>
      <w:pPr>
        <w:pStyle w:val="BodyText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2"/>
    <w:bookmarkStart w:id="13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13"/>
    <w:bookmarkStart w:id="14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4"/>
    <w:bookmarkStart w:id="15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5"/>
    <w:bookmarkStart w:id="17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</w:t>
      </w:r>
      <w:r>
        <w:t xml:space="preserve"> </w:t>
      </w:r>
      <w:hyperlink r:id="rId16">
        <w:r>
          <w:rPr>
            <w:rStyle w:val="Hyperlink"/>
          </w:rPr>
          <w:t xml:space="preserve">Lagrange’s notation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17"/>
    <w:bookmarkStart w:id="18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19"/>
    <w:bookmarkStart w:id="9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34" w:name="antiderivatives"/>
    <w:p>
      <w:pPr>
        <w:pStyle w:val="Heading3"/>
      </w:pPr>
      <w:r>
        <w:t xml:space="preserve">2.1 Antiderivatives</w:t>
      </w:r>
    </w:p>
    <w:bookmarkStart w:id="20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(Larson and Edwards 2018, sec. 4.1, pp. 248–249)</w:t>
      </w:r>
    </w:p>
    <w:bookmarkEnd w:id="20"/>
    <w:bookmarkStart w:id="21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1"/>
    <w:bookmarkStart w:id="31" w:name="exm-antiderivative-power"/>
    <w:p>
      <w:pPr>
        <w:pStyle w:val="BodyText"/>
      </w:pPr>
      <w:r>
        <w:rPr>
          <w:b/>
          <w:bCs/>
        </w:rPr>
        <w:t xml:space="preserve">Example 1 (Antiderivative of a power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30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30"/>
    <w:bookmarkEnd w:id="31"/>
    <w:bookmarkStart w:id="32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32"/>
    <w:bookmarkStart w:id="33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33"/>
    <w:bookmarkEnd w:id="34"/>
    <w:bookmarkStart w:id="64" w:name="regularity-conditions"/>
    <w:p>
      <w:pPr>
        <w:pStyle w:val="Heading3"/>
      </w:pPr>
      <w:r>
        <w:t xml:space="preserve">2.2 Regularity Conditions</w:t>
      </w:r>
    </w:p>
    <w:bookmarkStart w:id="35" w:name="def-differentiable"/>
    <w:p>
      <w:pPr>
        <w:pStyle w:val="FirstParagraph"/>
      </w:pPr>
      <w:r>
        <w:rPr>
          <w:b/>
          <w:bCs/>
        </w:rPr>
        <w:t xml:space="preserve">Definition 3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exists and is finite.</w:t>
      </w:r>
    </w:p>
    <w:p>
      <w:pPr>
        <w:pStyle w:val="BodyText"/>
      </w:pPr>
      <w:r>
        <w:t xml:space="preserve">(Larson and Edwards 2018, sec. 2.1, p. 100)</w:t>
      </w:r>
    </w:p>
    <w:bookmarkEnd w:id="35"/>
    <w:bookmarkStart w:id="36" w:name="def-differentiable-on"/>
    <w:p>
      <w:pPr>
        <w:pStyle w:val="BodyText"/>
      </w:pPr>
      <w:r>
        <w:rPr>
          <w:b/>
          <w:bCs/>
        </w:rPr>
        <w:t xml:space="preserve">Definition 4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3</w:t>
        </w:r>
      </w:hyperlink>
      <w:r>
        <w:t xml:space="preserve">) at every interior point of the interval;</w:t>
      </w:r>
      <w:r>
        <w:t xml:space="preserve"> </w:t>
      </w:r>
      <w:r>
        <w:t xml:space="preserve">at a closed endpoint, the appropriate one-sided derivative is used.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7" w:name="def-continuous"/>
    <w:p>
      <w:pPr>
        <w:pStyle w:val="BodyText"/>
      </w:pPr>
      <w:r>
        <w:rPr>
          <w:b/>
          <w:bCs/>
        </w:rPr>
        <w:t xml:space="preserve">Definition 5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37"/>
    <w:bookmarkStart w:id="38" w:name="def-continuous-on"/>
    <w:p>
      <w:pPr>
        <w:pStyle w:val="BodyText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2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5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38"/>
    <w:bookmarkStart w:id="39" w:name="exm-continuous-on-sqrt"/>
    <w:p>
      <w:pPr>
        <w:pStyle w:val="BodyText"/>
      </w:pPr>
      <w:r>
        <w:rPr>
          <w:b/>
          <w:bCs/>
        </w:rPr>
        <w:t xml:space="preserve">Example 3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39"/>
    <w:bookmarkStart w:id="40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0"/>
    <w:bookmarkStart w:id="41" w:name="exm-partition"/>
    <w:p>
      <w:pPr>
        <w:pStyle w:val="BodyText"/>
      </w:pPr>
      <w:r>
        <w:rPr>
          <w:b/>
          <w:bCs/>
        </w:rPr>
        <w:t xml:space="preserve">Example 4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1"/>
    <w:bookmarkStart w:id="42" w:name="def-mesh"/>
    <w:p>
      <w:pPr>
        <w:pStyle w:val="BodyText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(Larson and Edwards 2018, sec. 4.3)</w:t>
      </w:r>
    </w:p>
    <w:bookmarkEnd w:id="42"/>
    <w:bookmarkStart w:id="43" w:name="exm-mesh"/>
    <w:p>
      <w:pPr>
        <w:pStyle w:val="BodyText"/>
      </w:pPr>
      <w:r>
        <w:rPr>
          <w:b/>
          <w:bCs/>
        </w:rPr>
        <w:t xml:space="preserve">Example 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3"/>
    <w:bookmarkStart w:id="44" w:name="def-riemann-integral"/>
    <w:p>
      <w:pPr>
        <w:pStyle w:val="BodyText"/>
      </w:pPr>
      <w:r>
        <w:rPr>
          <w:b/>
          <w:bCs/>
        </w:rPr>
        <w:t xml:space="preserve">Definition 9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the limit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44"/>
    <w:bookmarkStart w:id="45" w:name="def-integrable"/>
    <w:p>
      <w:pPr>
        <w:pStyle w:val="BodyText"/>
      </w:pPr>
      <w:r>
        <w:rPr>
          <w:b/>
          <w:bCs/>
        </w:rPr>
        <w:t xml:space="preserve">Definition 10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its Riemann integral (</w:t>
      </w:r>
      <w:hyperlink w:anchor="def-riemann-integral">
        <w:r>
          <w:rPr>
            <w:rStyle w:val="Hyperlink"/>
          </w:rPr>
          <w:t xml:space="preserve">Definition 9</w:t>
        </w:r>
      </w:hyperlink>
      <w:r>
        <w:t xml:space="preserve">) 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exists and is finite.</w:t>
      </w:r>
    </w:p>
    <w:p>
      <w:pPr>
        <w:pStyle w:val="BodyText"/>
      </w:pPr>
      <w:r>
        <w:t xml:space="preserve">(Larson and Edwards 2018, sec. 4.3, p. 272)</w:t>
      </w:r>
    </w:p>
    <w:bookmarkEnd w:id="45"/>
    <w:bookmarkStart w:id="46" w:name="def-riemann-sum-equal-width"/>
    <w:p>
      <w:pPr>
        <w:pStyle w:val="BodyText"/>
      </w:pPr>
      <w:r>
        <w:rPr>
          <w:b/>
          <w:bCs/>
        </w:rPr>
        <w:t xml:space="preserve">Definition 11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46"/>
    <w:bookmarkStart w:id="47" w:name="exm-equal-width-sum"/>
    <w:p>
      <w:pPr>
        <w:pStyle w:val="FirstParagraph"/>
      </w:pPr>
      <w:r>
        <w:rPr>
          <w:b/>
          <w:bCs/>
        </w:rPr>
        <w:t xml:space="preserve">Example 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7"/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 sufficient 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48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hold.</w:t>
      </w:r>
    </w:p>
    <w:bookmarkStart w:id="49" w:name="exm-diff-implies-cont"/>
    <w:p>
      <w:pPr>
        <w:pStyle w:val="BodyText"/>
      </w:pPr>
      <w:r>
        <w:rPr>
          <w:b/>
          <w:bCs/>
        </w:rPr>
        <w:t xml:space="preserve">Example 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49"/>
    <w:bookmarkStart w:id="54" w:name="exm-cont-not-diff"/>
    <w:p>
      <w:pPr>
        <w:pStyle w:val="BodyText"/>
      </w:pPr>
      <w:r>
        <w:rPr>
          <w:b/>
          <w:bCs/>
        </w:rPr>
        <w:t xml:space="preserve">Example 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left-derivative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the right-derivative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This counterexample shows that the converse 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53"/>
        </w:tc>
      </w:tr>
    </w:tbl>
    <w:bookmarkEnd w:id="54"/>
    <w:bookmarkStart w:id="55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55"/>
    <w:bookmarkStart w:id="56" w:name="exm-cont-implies-int"/>
    <w:p>
      <w:pPr>
        <w:pStyle w:val="BodyText"/>
      </w:pPr>
      <w:r>
        <w:rPr>
          <w:b/>
          <w:bCs/>
        </w:rPr>
        <w:t xml:space="preserve">Example 9 (Continuous, hence integrable: polynomials)</w:t>
      </w:r>
      <w:r>
        <w:t xml:space="preserve"> </w:t>
      </w:r>
      <w:r>
        <w:t xml:space="preserve">Every polynomial 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56"/>
    <w:bookmarkStart w:id="61" w:name="exm-int-not-cont"/>
    <w:p>
      <w:pPr>
        <w:pStyle w:val="BodyText"/>
      </w:pPr>
      <w:r>
        <w:rPr>
          <w:b/>
          <w:bCs/>
        </w:rPr>
        <w:t xml:space="preserve">Example 10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bookmarkEnd w:id="6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show that neither implication reverses in general.</w:t>
      </w:r>
    </w:p>
    <w:bookmarkStart w:id="62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11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63" w:name="exm-riemann-equal-width"/>
    <w:p>
      <w:pPr>
        <w:pStyle w:val="BodyText"/>
      </w:pPr>
      <w:r>
        <w:rPr>
          <w:b/>
          <w:bCs/>
        </w:rPr>
        <w:t xml:space="preserve">Example 11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63"/>
    <w:bookmarkEnd w:id="64"/>
    <w:bookmarkStart w:id="95" w:name="fundamental-theorem-of-calculus"/>
    <w:p>
      <w:pPr>
        <w:pStyle w:val="Heading3"/>
      </w:pPr>
      <w:r>
        <w:t xml:space="preserve">2.3 Fundamental Theorem of Calculus</w:t>
      </w:r>
    </w:p>
    <w:bookmarkStart w:id="71" w:name="thm-ftc"/>
    <w:p>
      <w:pPr>
        <w:pStyle w:val="FirstParagraph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6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69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70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71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81" w:name="exm-ftc-part1-accumulation"/>
    <w:p>
      <w:pPr>
        <w:pStyle w:val="BodyText"/>
      </w:pPr>
      <w:r>
        <w:rPr>
          <w:b/>
          <w:bCs/>
        </w:rPr>
        <w:t xml:space="preserve">Example 12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8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7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7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80"/>
    <w:bookmarkEnd w:id="81"/>
    <w:bookmarkStart w:id="94" w:name="exm-ftc-cdf-pdf"/>
    <w:p>
      <w:pPr>
        <w:pStyle w:val="BodyText"/>
      </w:pPr>
      <w:r>
        <w:rPr>
          <w:b/>
          <w:bCs/>
        </w:rPr>
        <w:t xml:space="preserve">Example 13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8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 exponential distribution with rate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8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8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(standard exponential),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9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8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8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9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93"/>
    <w:bookmarkEnd w:id="94"/>
    <w:bookmarkEnd w:id="95"/>
    <w:bookmarkEnd w:id="96"/>
    <w:bookmarkStart w:id="12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-finite 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9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 </w:t>
      </w:r>
      <w:r>
        <w:t xml:space="preserve">follow from a stated theorem rather than from an aside.</w:t>
      </w:r>
    </w:p>
    <w:bookmarkStart w:id="98" w:name="def-double-integral"/>
    <w:p>
      <w:pPr>
        <w:pStyle w:val="BodyText"/>
      </w:pPr>
      <w:r>
        <w:rPr>
          <w:b/>
          <w:bCs/>
        </w:rPr>
        <w:t xml:space="preserve">Definition 12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(Larson and Edwards 2018, sec. 14.2)</w:t>
      </w:r>
    </w:p>
    <w:bookmarkEnd w:id="98"/>
    <w:p>
      <w:pPr>
        <w:pStyle w:val="BodyText"/>
      </w:pP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iterated integral</w:t>
      </w:r>
      <w:r>
        <w:t xml:space="preserve"> </w:t>
      </w:r>
      <w:r>
        <w:t xml:space="preserve">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t> </m:t>
            </m:r>
            <m:r>
              <m:t>d</m:t>
            </m:r>
            <m:r>
              <m:t>y</m:t>
            </m:r>
          </m:e>
        </m:d>
        <m:r>
          <m:t>​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fixed.</w:t>
      </w:r>
    </w:p>
    <w:bookmarkStart w:id="99" w:name="exm-double-integral-area"/>
    <w:p>
      <w:pPr>
        <w:pStyle w:val="BodyText"/>
      </w:pPr>
      <w:r>
        <w:rPr>
          <w:b/>
          <w:bCs/>
        </w:rPr>
        <w:t xml:space="preserve">Example 14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99"/>
    <w:bookmarkStart w:id="100" w:name="thm-fubini"/>
    <w:p>
      <w:pPr>
        <w:pStyle w:val="BodyText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00"/>
    <w:bookmarkStart w:id="107" w:name="exm-fubini-nonrect"/>
    <w:p>
      <w:pPr>
        <w:pStyle w:val="BodyText"/>
      </w:pPr>
      <w:r>
        <w:rPr>
          <w:b/>
          <w:bCs/>
        </w:rPr>
        <w:t xml:space="preserve">Example 15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indicator 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-1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05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no elementary antiderivative.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106"/>
        </w:tc>
      </w:tr>
    </w:tbl>
    <w:bookmarkEnd w:id="107"/>
    <w:bookmarkStart w:id="109" w:name="exm-fubini-fail"/>
    <w:p>
      <w:pPr>
        <w:pStyle w:val="BodyText"/>
      </w:pPr>
      <w:r>
        <w:rPr>
          <w:b/>
          <w:bCs/>
        </w:rPr>
        <w:t xml:space="preserve">Example 16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r>
        <w:t xml:space="preserve">The surface, and the singularity at the origin responsible for the</w:t>
      </w:r>
      <w:r>
        <w:t xml:space="preserve"> </w:t>
      </w:r>
      <w:r>
        <w:t xml:space="preserve">failure, are shown in</w:t>
      </w:r>
      <w:r>
        <w:t xml:space="preserve"> </w:t>
      </w:r>
      <w:hyperlink w:anchor="fig-fubini-fail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The function diverges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The singularity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why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108"/>
        </w:tc>
      </w:tr>
    </w:tbl>
    <w:bookmarkEnd w:id="109"/>
    <w:bookmarkStart w:id="110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116" w:name="exm-fubini-rect"/>
    <w:p>
      <w:pPr>
        <w:pStyle w:val="BodyText"/>
      </w:pPr>
      <w:r>
        <w:rPr>
          <w:b/>
          <w:bCs/>
        </w:rPr>
        <w:t xml:space="preserve">Example 17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6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114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15"/>
        </w:tc>
      </w:tr>
    </w:tbl>
    <w:bookmarkEnd w:id="116"/>
    <w:bookmarkStart w:id="117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measure spaces,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</w:t>
      </w:r>
      <w:r>
        <w:t xml:space="preserve"> </w:t>
      </w:r>
      <w:r>
        <w:t xml:space="preserve">with respect to the product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everywhere with respect to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5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 integrals 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117"/>
    <w:p>
      <w:pPr>
        <w:pStyle w:val="BodyText"/>
      </w:pP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9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</w:t>
      </w:r>
      <w:r>
        <w:t xml:space="preserve"> </w:t>
      </w:r>
      <w:r>
        <w:t xml:space="preserve">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: probability measures are finite (hence</w:t>
      </w:r>
      <w:r>
        <w:t xml:space="preserve"> </w:t>
      </w:r>
      <m:oMath>
        <m:r>
          <m:t>σ</m:t>
        </m:r>
      </m:oMath>
      <w:r>
        <w:t xml:space="preserve">-finite), so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  <w:r>
        <w:t xml:space="preserve"> </w:t>
      </w: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bookmarkStart w:id="118" w:name="exm-fubini-tonelli-apply"/>
    <w:p>
      <w:pPr>
        <w:pStyle w:val="BodyText"/>
      </w:pPr>
      <w:r>
        <w:rPr>
          <w:b/>
          <w:bCs/>
        </w:rPr>
        <w:t xml:space="preserve">Example 18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Exponential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118"/>
    <w:bookmarkStart w:id="119" w:name="exm-fubini-fail-tonelli"/>
    <w:p>
      <w:pPr>
        <w:pStyle w:val="BodyText"/>
      </w:pPr>
      <w:r>
        <w:rPr>
          <w:b/>
          <w:bCs/>
        </w:rPr>
        <w:t xml:space="preserve">Example 19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119"/>
    <w:bookmarkEnd w:id="120"/>
    <w:bookmarkStart w:id="123" w:name="sec-additional-resources"/>
    <w:p>
      <w:pPr>
        <w:pStyle w:val="Heading2"/>
      </w:pPr>
      <w:r>
        <w:t xml:space="preserve">4 Additional resources</w:t>
      </w:r>
    </w:p>
    <w:p>
      <w:pPr>
        <w:pStyle w:val="Compact"/>
        <w:numPr>
          <w:ilvl w:val="0"/>
          <w:numId w:val="1006"/>
        </w:numPr>
      </w:pPr>
      <w:r>
        <w:t xml:space="preserve">Kaplan (2022)</w:t>
      </w:r>
    </w:p>
    <w:p>
      <w:pPr>
        <w:pStyle w:val="Compact"/>
        <w:numPr>
          <w:ilvl w:val="0"/>
          <w:numId w:val="1006"/>
        </w:numPr>
      </w:pPr>
      <w:r>
        <w:t xml:space="preserve">Khuri (2003)</w:t>
      </w:r>
    </w:p>
    <w:p>
      <w:pPr>
        <w:pStyle w:val="Compact"/>
        <w:numPr>
          <w:ilvl w:val="0"/>
          <w:numId w:val="1006"/>
        </w:numPr>
      </w:pPr>
      <w:r>
        <w:t xml:space="preserve">Banner (2007)</w:t>
      </w:r>
    </w:p>
    <w:p>
      <w:pPr>
        <w:pStyle w:val="Compact"/>
        <w:numPr>
          <w:ilvl w:val="0"/>
          <w:numId w:val="1006"/>
        </w:numPr>
      </w:pPr>
      <w:r>
        <w:t xml:space="preserve">Larson and Edwards (2018)</w:t>
      </w:r>
    </w:p>
    <w:p>
      <w:pPr>
        <w:pStyle w:val="Compact"/>
        <w:numPr>
          <w:ilvl w:val="0"/>
          <w:numId w:val="1006"/>
        </w:numPr>
      </w:pPr>
      <w:r>
        <w:t xml:space="preserve">Miller (2016)</w:t>
      </w:r>
    </w:p>
    <w:p>
      <w:pPr>
        <w:pStyle w:val="Compact"/>
        <w:numPr>
          <w:ilvl w:val="1"/>
          <w:numId w:val="1007"/>
        </w:numPr>
      </w:pPr>
      <w:hyperlink r:id="rId12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07"/>
        </w:numPr>
      </w:pPr>
      <w:hyperlink r:id="rId12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06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123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2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25"/>
    <w:bookmarkStart w:id="12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6"/>
    <w:bookmarkStart w:id="12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127"/>
    <w:bookmarkStart w:id="12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12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129"/>
    <w:bookmarkStart w:id="13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1"/>
    <w:bookmarkStart w:id="13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3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33"/>
    <w:bookmarkStart w:id="13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13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135"/>
    <w:bookmarkStart w:id="13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37"/>
    <w:bookmarkStart w:id="13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3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39"/>
    <w:bookmarkStart w:id="14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4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41"/>
    <w:bookmarkStart w:id="14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2"/>
    <w:bookmarkStart w:id="14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6" Target="media/rId66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22" Target="media/rId22.png" /><Relationship Type="http://schemas.openxmlformats.org/officeDocument/2006/relationships/image" Id="rId89" Target="media/rId89.png" /><Relationship Type="http://schemas.openxmlformats.org/officeDocument/2006/relationships/image" Id="rId85" Target="media/rId85.png" /><Relationship Type="http://schemas.openxmlformats.org/officeDocument/2006/relationships/image" Id="rId72" Target="media/rId72.png" /><Relationship Type="http://schemas.openxmlformats.org/officeDocument/2006/relationships/image" Id="rId76" Target="media/rId76.png" /><Relationship Type="http://schemas.openxmlformats.org/officeDocument/2006/relationships/image" Id="rId57" Target="media/rId57.png" /><Relationship Type="http://schemas.openxmlformats.org/officeDocument/2006/relationships/image" Id="rId102" Target="media/rId102.png" /><Relationship Type="http://schemas.openxmlformats.org/officeDocument/2006/relationships/image" Id="rId111" Target="media/rId111.png" /><Relationship Type="http://schemas.openxmlformats.org/officeDocument/2006/relationships/hyperlink" Id="rId122" Target="http://www.youtube.com/watch?v=Ps2SBo_WjoE" TargetMode="External" /><Relationship Type="http://schemas.openxmlformats.org/officeDocument/2006/relationships/hyperlink" Id="rId121" Target="http://www.youtube.com/watch?v=xYzQL0TUtBA" TargetMode="External" /><Relationship Type="http://schemas.openxmlformats.org/officeDocument/2006/relationships/hyperlink" Id="rId134" Target="https://doi.org/10.1002/0471394882" TargetMode="External" /><Relationship Type="http://schemas.openxmlformats.org/officeDocument/2006/relationships/hyperlink" Id="rId136" Target="https://doi.org/10.1007/978-1-4419-6646-9" TargetMode="External" /><Relationship Type="http://schemas.openxmlformats.org/officeDocument/2006/relationships/hyperlink" Id="rId130" Target="https://doi.org/10.1007/978-1-4614-4708-5" TargetMode="External" /><Relationship Type="http://schemas.openxmlformats.org/officeDocument/2006/relationships/hyperlink" Id="rId143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2" Target="https://morrison-lab.github.io/rme/chapters/probability.html" TargetMode="External" /><Relationship Type="http://schemas.openxmlformats.org/officeDocument/2006/relationships/hyperlink" Id="rId97" Target="https://morrison-lab.github.io/rme/chapters/probability.html#cor-fubini-joint" TargetMode="External" /><Relationship Type="http://schemas.openxmlformats.org/officeDocument/2006/relationships/hyperlink" Id="rId84" Target="https://morrison-lab.github.io/rme/chapters/probability.html#def-cdf" TargetMode="External" /><Relationship Type="http://schemas.openxmlformats.org/officeDocument/2006/relationships/hyperlink" Id="rId101" Target="https://morrison-lab.github.io/rme/chapters/probability.html#def-expectation" TargetMode="External" /><Relationship Type="http://schemas.openxmlformats.org/officeDocument/2006/relationships/hyperlink" Id="rId83" Target="https://morrison-lab.github.io/rme/chapters/probability.html#def-pdf" TargetMode="External" /><Relationship Type="http://schemas.openxmlformats.org/officeDocument/2006/relationships/hyperlink" Id="rId124" Target="https://press.princeton.edu/books/paperback/9780691130880/the-calculus-lifesaver" TargetMode="External" /><Relationship Type="http://schemas.openxmlformats.org/officeDocument/2006/relationships/hyperlink" Id="rId128" Target="https://press.princeton.edu/books/paperback/9780691172934/the-real-analysis-lifesaver" TargetMode="External" /><Relationship Type="http://schemas.openxmlformats.org/officeDocument/2006/relationships/hyperlink" Id="rId14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38" Target="https://www.cengage.com/c/calculus-11e-larson/" TargetMode="External" /><Relationship Type="http://schemas.openxmlformats.org/officeDocument/2006/relationships/hyperlink" Id="rId132" Target="https://www.mosaic-web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2" Target="http://www.youtube.com/watch?v=Ps2SBo_WjoE" TargetMode="External" /><Relationship Type="http://schemas.openxmlformats.org/officeDocument/2006/relationships/hyperlink" Id="rId121" Target="http://www.youtube.com/watch?v=xYzQL0TUtBA" TargetMode="External" /><Relationship Type="http://schemas.openxmlformats.org/officeDocument/2006/relationships/hyperlink" Id="rId134" Target="https://doi.org/10.1002/0471394882" TargetMode="External" /><Relationship Type="http://schemas.openxmlformats.org/officeDocument/2006/relationships/hyperlink" Id="rId136" Target="https://doi.org/10.1007/978-1-4419-6646-9" TargetMode="External" /><Relationship Type="http://schemas.openxmlformats.org/officeDocument/2006/relationships/hyperlink" Id="rId130" Target="https://doi.org/10.1007/978-1-4614-4708-5" TargetMode="External" /><Relationship Type="http://schemas.openxmlformats.org/officeDocument/2006/relationships/hyperlink" Id="rId143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2" Target="https://morrison-lab.github.io/rme/chapters/probability.html" TargetMode="External" /><Relationship Type="http://schemas.openxmlformats.org/officeDocument/2006/relationships/hyperlink" Id="rId97" Target="https://morrison-lab.github.io/rme/chapters/probability.html#cor-fubini-joint" TargetMode="External" /><Relationship Type="http://schemas.openxmlformats.org/officeDocument/2006/relationships/hyperlink" Id="rId84" Target="https://morrison-lab.github.io/rme/chapters/probability.html#def-cdf" TargetMode="External" /><Relationship Type="http://schemas.openxmlformats.org/officeDocument/2006/relationships/hyperlink" Id="rId101" Target="https://morrison-lab.github.io/rme/chapters/probability.html#def-expectation" TargetMode="External" /><Relationship Type="http://schemas.openxmlformats.org/officeDocument/2006/relationships/hyperlink" Id="rId83" Target="https://morrison-lab.github.io/rme/chapters/probability.html#def-pdf" TargetMode="External" /><Relationship Type="http://schemas.openxmlformats.org/officeDocument/2006/relationships/hyperlink" Id="rId124" Target="https://press.princeton.edu/books/paperback/9780691130880/the-calculus-lifesaver" TargetMode="External" /><Relationship Type="http://schemas.openxmlformats.org/officeDocument/2006/relationships/hyperlink" Id="rId128" Target="https://press.princeton.edu/books/paperback/9780691172934/the-real-analysis-lifesaver" TargetMode="External" /><Relationship Type="http://schemas.openxmlformats.org/officeDocument/2006/relationships/hyperlink" Id="rId14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38" Target="https://www.cengage.com/c/calculus-11e-larson/" TargetMode="External" /><Relationship Type="http://schemas.openxmlformats.org/officeDocument/2006/relationships/hyperlink" Id="rId132" Target="https://www.mosaic-web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2026-09-28T10:37:23Z</dcterms:created>
  <dcterms:modified xsi:type="dcterms:W3CDTF">2026-09-28T10:37:23Z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03:31:56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