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03:24:06 (PDT)</w:t>
      </w:r>
    </w:p>
    <w:bookmarkStart w:id="31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0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bookmarkEnd w:id="30"/>
    <w:bookmarkEnd w:id="31"/>
    <w:bookmarkStart w:id="59" w:name="matrices"/>
    <w:p>
      <w:pPr>
        <w:pStyle w:val="Heading2"/>
      </w:pPr>
      <w:r>
        <w:t xml:space="preserve">2 Matrices</w:t>
      </w:r>
    </w:p>
    <w:bookmarkStart w:id="32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2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4" w:name="sec-matrix-transpose"/>
    <w:p>
      <w:pPr>
        <w:pStyle w:val="Heading3"/>
      </w:pPr>
      <w:r>
        <w:t xml:space="preserve">2.1 Matrix transpose</w:t>
      </w:r>
    </w:p>
    <w:bookmarkStart w:id="33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3"/>
    <w:bookmarkEnd w:id="34"/>
    <w:bookmarkStart w:id="41" w:name="matrix-addition"/>
    <w:p>
      <w:pPr>
        <w:pStyle w:val="Heading3"/>
      </w:pPr>
      <w:r>
        <w:t xml:space="preserve">2.2 Matrix addition</w:t>
      </w:r>
    </w:p>
    <w:bookmarkStart w:id="35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6"/>
    <w:bookmarkStart w:id="37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37"/>
    <w:bookmarkStart w:id="38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38"/>
    <w:bookmarkStart w:id="39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9"/>
    <w:bookmarkStart w:id="40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0"/>
    <w:bookmarkEnd w:id="41"/>
    <w:bookmarkStart w:id="43" w:name="scalar-multiplication"/>
    <w:p>
      <w:pPr>
        <w:pStyle w:val="Heading3"/>
      </w:pPr>
      <w:r>
        <w:t xml:space="preserve">2.3 Scalar multiplication</w:t>
      </w:r>
    </w:p>
    <w:bookmarkStart w:id="42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2"/>
    <w:bookmarkEnd w:id="43"/>
    <w:bookmarkStart w:id="48" w:name="matrix-multiplication"/>
    <w:p>
      <w:pPr>
        <w:pStyle w:val="Heading3"/>
      </w:pPr>
      <w:r>
        <w:t xml:space="preserve">2.4 Matrix multiplication</w:t>
      </w:r>
    </w:p>
    <w:bookmarkStart w:id="44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4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45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45"/>
    <w:bookmarkStart w:id="46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7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47"/>
    <w:bookmarkEnd w:id="48"/>
    <w:bookmarkStart w:id="50" w:name="matrix-vector-multiplication"/>
    <w:p>
      <w:pPr>
        <w:pStyle w:val="Heading3"/>
      </w:pPr>
      <w:r>
        <w:t xml:space="preserve">2.5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0"/>
    <w:bookmarkStart w:id="53" w:name="transposes-of-sums-and-products"/>
    <w:p>
      <w:pPr>
        <w:pStyle w:val="Heading3"/>
      </w:pPr>
      <w:r>
        <w:t xml:space="preserve">2.6 Transposes of sums and products</w:t>
      </w:r>
    </w:p>
    <w:bookmarkStart w:id="5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3"/>
    <w:bookmarkStart w:id="58" w:name="rank"/>
    <w:p>
      <w:pPr>
        <w:pStyle w:val="Heading3"/>
      </w:pPr>
      <w:r>
        <w:t xml:space="preserve">2.7 Rank</w:t>
      </w:r>
    </w:p>
    <w:bookmarkStart w:id="54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56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57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57"/>
    <w:bookmarkEnd w:id="58"/>
    <w:bookmarkEnd w:id="59"/>
    <w:bookmarkStart w:id="8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60" w:name="def-square-matrix"/>
    <w:p>
      <w:pPr>
        <w:pStyle w:val="BodyText"/>
      </w:pPr>
      <w:r>
        <w:rPr>
          <w:b/>
          <w:bCs/>
        </w:rPr>
        <w:t xml:space="preserve">Definition 20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60"/>
    <w:bookmarkStart w:id="61" w:name="def-matrix-order"/>
    <w:p>
      <w:pPr>
        <w:pStyle w:val="BodyText"/>
      </w:pPr>
      <w:r>
        <w:rPr>
          <w:b/>
          <w:bCs/>
        </w:rPr>
        <w:t xml:space="preserve">Definition 21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61"/>
    <w:bookmarkStart w:id="62" w:name="def-matrix-power"/>
    <w:p>
      <w:pPr>
        <w:pStyle w:val="BodyText"/>
      </w:pPr>
      <w:r>
        <w:rPr>
          <w:b/>
          <w:bCs/>
        </w:rPr>
        <w:t xml:space="preserve">Definition 22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62"/>
    <w:bookmarkStart w:id="63" w:name="def-identity-matrix"/>
    <w:p>
      <w:pPr>
        <w:pStyle w:val="BodyText"/>
      </w:pPr>
      <w:r>
        <w:rPr>
          <w:b/>
          <w:bCs/>
        </w:rPr>
        <w:t xml:space="preserve">Definition 23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63"/>
    <w:bookmarkStart w:id="64" w:name="thm-identity"/>
    <w:p>
      <w:pPr>
        <w:pStyle w:val="FirstParagraph"/>
      </w:pPr>
      <w:r>
        <w:rPr>
          <w:b/>
          <w:bCs/>
        </w:rPr>
        <w:t xml:space="preserve">Theorem 11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4"/>
    <w:bookmarkStart w:id="65" w:name="def-symmetric-matrix"/>
    <w:p>
      <w:pPr>
        <w:pStyle w:val="FirstParagraph"/>
      </w:pPr>
      <w:r>
        <w:rPr>
          <w:b/>
          <w:bCs/>
        </w:rPr>
        <w:t xml:space="preserve">Definition 24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65"/>
    <w:p>
      <w:pPr>
        <w:pStyle w:val="BodyText"/>
      </w:pPr>
      <w:r>
        <w:t xml:space="preserve">Covariance matrices and information matrices are symmetric.</w:t>
      </w:r>
    </w:p>
    <w:bookmarkStart w:id="66" w:name="def-diagonal-matrix"/>
    <w:p>
      <w:pPr>
        <w:pStyle w:val="BodyText"/>
      </w:pPr>
      <w:r>
        <w:rPr>
          <w:b/>
          <w:bCs/>
        </w:rPr>
        <w:t xml:space="preserve">Definition 25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67" w:name="def-matrix-inverse"/>
    <w:p>
      <w:pPr>
        <w:pStyle w:val="BodyText"/>
      </w:pPr>
      <w:r>
        <w:rPr>
          <w:b/>
          <w:bCs/>
        </w:rPr>
        <w:t xml:space="preserve">Definition 26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7"/>
    <w:bookmarkStart w:id="68" w:name="def-invertible-matrix"/>
    <w:p>
      <w:pPr>
        <w:pStyle w:val="FirstParagraph"/>
      </w:pPr>
      <w:r>
        <w:rPr>
          <w:b/>
          <w:bCs/>
        </w:rPr>
        <w:t xml:space="preserve">Definition 27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68"/>
    <w:bookmarkStart w:id="69" w:name="exm-invertible-matrix"/>
    <w:p>
      <w:pPr>
        <w:pStyle w:val="BodyText"/>
      </w:pPr>
      <w:r>
        <w:rPr>
          <w:b/>
          <w:bCs/>
        </w:rPr>
        <w:t xml:space="preserve">Example 7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69"/>
    <w:bookmarkStart w:id="70" w:name="thm-inverse-product"/>
    <w:p>
      <w:pPr>
        <w:pStyle w:val="BodyText"/>
      </w:pPr>
      <w:r>
        <w:rPr>
          <w:b/>
          <w:bCs/>
        </w:rPr>
        <w:t xml:space="preserve">Theorem 12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71" w:name="thm-inverse-transpose"/>
    <w:p>
      <w:pPr>
        <w:pStyle w:val="BodyText"/>
      </w:pPr>
      <w:r>
        <w:rPr>
          <w:b/>
          <w:bCs/>
        </w:rPr>
        <w:t xml:space="preserve">Theorem 13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72" w:name="exm-inverse-transpose"/>
    <w:p>
      <w:pPr>
        <w:pStyle w:val="BodyText"/>
      </w:pPr>
      <w:r>
        <w:rPr>
          <w:b/>
          <w:bCs/>
        </w:rPr>
        <w:t xml:space="preserve">Example 8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2"/>
    <w:bookmarkStart w:id="7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13</w:t>
        </w:r>
      </w:hyperlink>
      <w:r>
        <w:t xml:space="preserve">.</w:t>
      </w:r>
    </w:p>
    <w:bookmarkStart w:id="74" w:name="exm-inverse-symmetric"/>
    <w:p>
      <w:pPr>
        <w:pStyle w:val="BodyText"/>
      </w:pPr>
      <w:r>
        <w:rPr>
          <w:b/>
          <w:bCs/>
        </w:rPr>
        <w:t xml:space="preserve">Example 9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74"/>
    <w:bookmarkStart w:id="75" w:name="def-idempotent-matrix"/>
    <w:p>
      <w:pPr>
        <w:pStyle w:val="BodyText"/>
      </w:pPr>
      <w:r>
        <w:rPr>
          <w:b/>
          <w:bCs/>
        </w:rPr>
        <w:t xml:space="preserve">Definition 28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5"/>
    <w:bookmarkStart w:id="76" w:name="def-projection-matrix"/>
    <w:p>
      <w:pPr>
        <w:pStyle w:val="FirstParagraph"/>
      </w:pPr>
      <w:r>
        <w:rPr>
          <w:b/>
          <w:bCs/>
        </w:rPr>
        <w:t xml:space="preserve">Definition 29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7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Start w:id="77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77"/>
    <w:bookmarkStart w:id="78" w:name="thm-projection-complement"/>
    <w:p>
      <w:pPr>
        <w:pStyle w:val="BodyText"/>
      </w:pPr>
      <w:r>
        <w:rPr>
          <w:b/>
          <w:bCs/>
        </w:rPr>
        <w:t xml:space="preserve">Theorem 14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79" w:name="thm-projection-orthogonal"/>
    <w:p>
      <w:pPr>
        <w:pStyle w:val="FirstParagraph"/>
      </w:pPr>
      <w:r>
        <w:rPr>
          <w:b/>
          <w:bCs/>
        </w:rPr>
        <w:t xml:space="preserve">Theorem 15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End w:id="80"/>
    <w:bookmarkStart w:id="88" w:name="quadratic-forms"/>
    <w:p>
      <w:pPr>
        <w:pStyle w:val="Heading2"/>
      </w:pPr>
      <w:r>
        <w:t xml:space="preserve">4 Quadratic Forms</w:t>
      </w:r>
    </w:p>
    <w:bookmarkStart w:id="81" w:name="def-quadratic-form"/>
    <w:p>
      <w:pPr>
        <w:pStyle w:val="FirstParagraph"/>
      </w:pPr>
      <w:r>
        <w:rPr>
          <w:b/>
          <w:bCs/>
        </w:rPr>
        <w:t xml:space="preserve">Definition 30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81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4" w:name="def-symmetric-part"/>
    <w:p>
      <w:pPr>
        <w:pStyle w:val="FirstParagraph"/>
      </w:pPr>
      <w:r>
        <w:rPr>
          <w:b/>
          <w:bCs/>
        </w:rPr>
        <w:t xml:space="preserve">Definition 31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exm-symmetric-part"/>
    <w:p>
      <w:pPr>
        <w:pStyle w:val="FirstParagraph"/>
      </w:pPr>
      <w:r>
        <w:rPr>
          <w:b/>
          <w:bCs/>
        </w:rPr>
        <w:t xml:space="preserve">Example 11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85"/>
    <w:bookmarkStart w:id="86" w:name="thm-quadratic-form-symmetric"/>
    <w:p>
      <w:pPr>
        <w:pStyle w:val="BodyText"/>
      </w:pPr>
      <w:r>
        <w:rPr>
          <w:b/>
          <w:bCs/>
        </w:rPr>
        <w:t xml:space="preserve">Theorem 16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31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7" w:name="exm-quadratic-form-symmetric"/>
    <w:p>
      <w:pPr>
        <w:pStyle w:val="BodyText"/>
      </w:pPr>
      <w:r>
        <w:rPr>
          <w:b/>
          <w:bCs/>
        </w:rPr>
        <w:t xml:space="preserve">Example 12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7"/>
    <w:bookmarkEnd w:id="88"/>
    <w:bookmarkStart w:id="96" w:name="design-matrix"/>
    <w:p>
      <w:pPr>
        <w:pStyle w:val="Heading2"/>
      </w:pPr>
      <w:r>
        <w:t xml:space="preserve">5 Design Matrix</w:t>
      </w:r>
    </w:p>
    <w:bookmarkStart w:id="89" w:name="def-design-matrix"/>
    <w:p>
      <w:pPr>
        <w:pStyle w:val="FirstParagraph"/>
      </w:pPr>
      <w:r>
        <w:rPr>
          <w:b/>
          <w:bCs/>
        </w:rPr>
        <w:t xml:space="preserve">Definition 32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89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90" w:name="thm-gram-invertible"/>
    <w:p>
      <w:pPr>
        <w:pStyle w:val="BodyText"/>
      </w:pPr>
      <w:r>
        <w:rPr>
          <w:b/>
          <w:bCs/>
        </w:rPr>
        <w:t xml:space="preserve">Theorem 17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2014)</w:t>
      </w:r>
      <w:r>
        <w:t xml:space="preserve">.</w:t>
      </w:r>
    </w:p>
    <w:bookmarkStart w:id="91" w:name="exm-gram-invertible"/>
    <w:p>
      <w:pPr>
        <w:pStyle w:val="BodyText"/>
      </w:pPr>
      <w:r>
        <w:rPr>
          <w:b/>
          <w:bCs/>
        </w:rPr>
        <w:t xml:space="preserve">Example 13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91"/>
    <w:bookmarkStart w:id="92" w:name="def-hat-matrix"/>
    <w:p>
      <w:pPr>
        <w:pStyle w:val="BodyText"/>
      </w:pPr>
      <w:r>
        <w:rPr>
          <w:b/>
          <w:bCs/>
        </w:rPr>
        <w:t xml:space="preserve">Definition 33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92"/>
    <w:bookmarkStart w:id="93" w:name="exm-hat-matrix"/>
    <w:p>
      <w:pPr>
        <w:pStyle w:val="BodyText"/>
      </w:pPr>
      <w:r>
        <w:rPr>
          <w:b/>
          <w:bCs/>
        </w:rPr>
        <w:t xml:space="preserve">Example 14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93"/>
    <w:bookmarkStart w:id="94" w:name="thm-hat-matrix"/>
    <w:p>
      <w:pPr>
        <w:pStyle w:val="BodyText"/>
      </w:pPr>
      <w:r>
        <w:rPr>
          <w:b/>
          <w:bCs/>
        </w:rPr>
        <w:t xml:space="preserve">Theorem 18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5" w:name="exm-hat-matrix-projection"/>
    <w:p>
      <w:pPr>
        <w:pStyle w:val="FirstParagraph"/>
      </w:pPr>
      <w:r>
        <w:rPr>
          <w:b/>
          <w:bCs/>
        </w:rPr>
        <w:t xml:space="preserve">Example 15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says.</w:t>
      </w:r>
    </w:p>
    <w:bookmarkEnd w:id="95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96"/>
    <w:bookmarkStart w:id="97" w:name="sec-additional-resources"/>
    <w:p>
      <w:pPr>
        <w:pStyle w:val="Heading2"/>
      </w:pPr>
      <w:r>
        <w:t xml:space="preserve">6 Additional resources</w:t>
      </w:r>
    </w:p>
    <w:p>
      <w:pPr>
        <w:pStyle w:val="Compact"/>
        <w:numPr>
          <w:ilvl w:val="0"/>
          <w:numId w:val="1004"/>
        </w:numPr>
      </w:pPr>
      <w:r>
        <w:t xml:space="preserve">Fieller (2016)</w:t>
      </w:r>
    </w:p>
    <w:p>
      <w:pPr>
        <w:pStyle w:val="Compact"/>
        <w:numPr>
          <w:ilvl w:val="0"/>
          <w:numId w:val="1004"/>
        </w:numPr>
      </w:pPr>
      <w:r>
        <w:t xml:space="preserve">Banerjee and Roy (2014)</w:t>
      </w:r>
    </w:p>
    <w:p>
      <w:pPr>
        <w:pStyle w:val="Compact"/>
        <w:numPr>
          <w:ilvl w:val="0"/>
          <w:numId w:val="1004"/>
        </w:numPr>
      </w:pPr>
      <w:r>
        <w:t xml:space="preserve">Searle and Khuri (2017)</w:t>
      </w:r>
    </w:p>
    <w:bookmarkEnd w:id="97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1"/>
    <w:bookmarkStart w:id="10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0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03"/>
    <w:bookmarkStart w:id="1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05"/>
    <w:bookmarkStart w:id="10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00" Target="https://doi.org/10.1201/9781315182780" TargetMode="External" /><Relationship Type="http://schemas.openxmlformats.org/officeDocument/2006/relationships/hyperlink" Id="rId102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83" Target="https://morrison-lab.github.io/rme/chapters/Linear-models-overview.html#sec-infer-LMs" TargetMode="External" /><Relationship Type="http://schemas.openxmlformats.org/officeDocument/2006/relationships/hyperlink" Id="rId104" Target="https://www.mosaic-web.org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8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201/9781315182780" TargetMode="External" /><Relationship Type="http://schemas.openxmlformats.org/officeDocument/2006/relationships/hyperlink" Id="rId102" Target="https://doi.org/10.1201/9781315370200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83" Target="https://morrison-lab.github.io/rme/chapters/Linear-models-overview.html#sec-infer-LMs" TargetMode="External" /><Relationship Type="http://schemas.openxmlformats.org/officeDocument/2006/relationships/hyperlink" Id="rId104" Target="https://www.mosaic-web.org" TargetMode="External" /><Relationship Type="http://schemas.openxmlformats.org/officeDocument/2006/relationships/hyperlink" Id="rId98" Target="https://www.routledge.com/Linear-Algebra-and-Matrix-Analysis-for-Statistics/Banerjee-Roy/p/book/9781420095388" TargetMode="External" /><Relationship Type="http://schemas.openxmlformats.org/officeDocument/2006/relationships/hyperlink" Id="rId8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2026-09-28T10:29:16Z</dcterms:created>
  <dcterms:modified xsi:type="dcterms:W3CDTF">2026-09-28T10:29:16Z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