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2026-10-04 21:55:44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147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27" w:name="sec-subspaces"/>
    <w:p>
      <w:pPr>
        <w:pStyle w:val="Heading3"/>
      </w:pPr>
      <w:r>
        <w:t xml:space="preserve">2.9 Subspaces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Zhou (2024)</w:t>
      </w:r>
      <w:r>
        <w:t xml:space="preserve">,</w:t>
      </w:r>
      <w:r>
        <w:t xml:space="preserve"> </w:t>
      </w:r>
      <w:r>
        <w:t xml:space="preserve">used under the MIT License.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MIT License for the adapted material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Copyright (c) 2024 ucla-biostat-216</w:t>
            </w:r>
          </w:p>
          <w:p>
            <w:pPr>
              <w:pStyle w:val="Body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ody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05" w:name="def-subspace"/>
    <w:p>
      <w:pPr>
        <w:pStyle w:val="BodyText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05"/>
    <w:bookmarkStart w:id="106" w:name="exm-subspace"/>
    <w:p>
      <w:pPr>
        <w:pStyle w:val="BodyText"/>
      </w:pPr>
      <w:r>
        <w:rPr>
          <w:b/>
          <w:bCs/>
        </w:rPr>
        <w:t xml:space="preserve">Example 10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06"/>
    <w:bookmarkStart w:id="107" w:name="exm-not-subspace"/>
    <w:p>
      <w:pPr>
        <w:pStyle w:val="BodyText"/>
      </w:pPr>
      <w:r>
        <w:rPr>
          <w:b/>
          <w:bCs/>
        </w:rPr>
        <w:t xml:space="preserve">Example 11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07"/>
    <w:bookmarkStart w:id="108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9" w:name="exm-subspace-zero"/>
    <w:p>
      <w:pPr>
        <w:pStyle w:val="BodyText"/>
      </w:pPr>
      <w:r>
        <w:rPr>
          <w:b/>
          <w:bCs/>
        </w:rPr>
        <w:t xml:space="preserve">Example 12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09"/>
    <w:bookmarkStart w:id="110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10"/>
    <w:bookmarkStart w:id="111" w:name="exm-span"/>
    <w:p>
      <w:pPr>
        <w:pStyle w:val="BodyText"/>
      </w:pPr>
      <w:r>
        <w:rPr>
          <w:b/>
          <w:bCs/>
        </w:rPr>
        <w:t xml:space="preserve">Example 13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1"/>
    <w:bookmarkStart w:id="112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13" w:name="exm-span-subspace"/>
    <w:p>
      <w:pPr>
        <w:pStyle w:val="BodyText"/>
      </w:pPr>
      <w:r>
        <w:rPr>
          <w:b/>
          <w:bCs/>
        </w:rPr>
        <w:t xml:space="preserve">Example 14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10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13"/>
    <w:bookmarkStart w:id="114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5" w:name="exm-matvec-columns"/>
    <w:p>
      <w:pPr>
        <w:pStyle w:val="FirstParagraph"/>
      </w:pPr>
      <w:r>
        <w:rPr>
          <w:b/>
          <w:bCs/>
        </w:rPr>
        <w:t xml:space="preserve">Example 15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15"/>
    <w:bookmarkStart w:id="116" w:name="thm-many-vectors-dependent"/>
    <w:p>
      <w:pPr>
        <w:pStyle w:val="BodyText"/>
      </w:pPr>
      <w:r>
        <w:rPr>
          <w:b/>
          <w:bCs/>
        </w:rPr>
        <w:t xml:space="preserve">Theorem 14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17" w:name="exm-many-vectors-dependent"/>
    <w:p>
      <w:pPr>
        <w:pStyle w:val="BodyText"/>
      </w:pPr>
      <w:r>
        <w:rPr>
          <w:b/>
          <w:bCs/>
        </w:rPr>
        <w:t xml:space="preserve">Example 16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17"/>
    <w:bookmarkStart w:id="118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18"/>
    <w:bookmarkStart w:id="119" w:name="exm-basis"/>
    <w:p>
      <w:pPr>
        <w:pStyle w:val="BodyText"/>
      </w:pPr>
      <w:r>
        <w:rPr>
          <w:b/>
          <w:bCs/>
        </w:rPr>
        <w:t xml:space="preserve">Example 17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19"/>
    <w:bookmarkStart w:id="120" w:name="exm-not-basis"/>
    <w:p>
      <w:pPr>
        <w:pStyle w:val="FirstParagraph"/>
      </w:pPr>
      <w:r>
        <w:rPr>
          <w:b/>
          <w:bCs/>
        </w:rPr>
        <w:t xml:space="preserve">Example 18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20"/>
    <w:bookmarkStart w:id="121" w:name="thm-basis-unique"/>
    <w:p>
      <w:pPr>
        <w:pStyle w:val="FirstParagraph"/>
      </w:pPr>
      <w:r>
        <w:rPr>
          <w:b/>
          <w:bCs/>
        </w:rPr>
        <w:t xml:space="preserve">Theorem 15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22" w:name="exm-basis-unique"/>
    <w:p>
      <w:pPr>
        <w:pStyle w:val="BodyText"/>
      </w:pPr>
      <w:r>
        <w:rPr>
          <w:b/>
          <w:bCs/>
        </w:rPr>
        <w:t xml:space="preserve">Example 19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thm-basis-size"/>
    <w:p>
      <w:pPr>
        <w:pStyle w:val="BodyText"/>
      </w:pPr>
      <w:r>
        <w:rPr>
          <w:b/>
          <w:bCs/>
        </w:rPr>
        <w:t xml:space="preserve">Theorem 16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24" w:name="exm-basis-size"/>
    <w:p>
      <w:pPr>
        <w:pStyle w:val="BodyText"/>
      </w:pPr>
      <w:r>
        <w:rPr>
          <w:b/>
          <w:bCs/>
        </w:rPr>
        <w:t xml:space="preserve">Example 20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17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18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24"/>
    <w:bookmarkStart w:id="125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6" w:name="exm-dimension"/>
    <w:p>
      <w:pPr>
        <w:pStyle w:val="BodyText"/>
      </w:pPr>
      <w:r>
        <w:rPr>
          <w:b/>
          <w:bCs/>
        </w:rPr>
        <w:t xml:space="preserve">Example 21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17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18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26"/>
    <w:bookmarkEnd w:id="127"/>
    <w:bookmarkStart w:id="140" w:name="sec-column-null-space"/>
    <w:p>
      <w:pPr>
        <w:pStyle w:val="Heading3"/>
      </w:pPr>
      <w:r>
        <w:t xml:space="preserve">2.10 Column space and null space</w:t>
      </w:r>
    </w:p>
    <w:bookmarkStart w:id="128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8"/>
    <w:bookmarkStart w:id="129" w:name="exm-column-space"/>
    <w:p>
      <w:pPr>
        <w:pStyle w:val="BodyText"/>
      </w:pPr>
      <w:r>
        <w:rPr>
          <w:b/>
          <w:bCs/>
        </w:rPr>
        <w:t xml:space="preserve">Example 22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9"/>
    <w:bookmarkStart w:id="130" w:name="thm-column-space-span"/>
    <w:p>
      <w:pPr>
        <w:pStyle w:val="BodyText"/>
      </w:pPr>
      <w:r>
        <w:rPr>
          <w:b/>
          <w:bCs/>
        </w:rPr>
        <w:t xml:space="preserve">Theorem 17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31" w:name="exm-column-space-span"/>
    <w:p>
      <w:pPr>
        <w:pStyle w:val="BodyText"/>
      </w:pPr>
      <w:r>
        <w:rPr>
          <w:b/>
          <w:bCs/>
        </w:rPr>
        <w:t xml:space="preserve">Example 23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17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31"/>
    <w:bookmarkStart w:id="132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32"/>
    <w:bookmarkStart w:id="133" w:name="exm-null-space"/>
    <w:p>
      <w:pPr>
        <w:pStyle w:val="BodyText"/>
      </w:pPr>
      <w:r>
        <w:rPr>
          <w:b/>
          <w:bCs/>
        </w:rPr>
        <w:t xml:space="preserve">Example 24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thm-null-space-subspace"/>
    <w:p>
      <w:pPr>
        <w:pStyle w:val="BodyText"/>
      </w:pPr>
      <w:r>
        <w:rPr>
          <w:b/>
          <w:bCs/>
        </w:rPr>
        <w:t xml:space="preserve">Theorem 18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35" w:name="exm-null-space-subspace"/>
    <w:p>
      <w:pPr>
        <w:pStyle w:val="BodyText"/>
      </w:pPr>
      <w:r>
        <w:rPr>
          <w:b/>
          <w:bCs/>
        </w:rPr>
        <w:t xml:space="preserve">Example 25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35"/>
    <w:bookmarkStart w:id="136" w:name="thm-row-null-disjoint"/>
    <w:p>
      <w:pPr>
        <w:pStyle w:val="BodyText"/>
      </w:pPr>
      <w:r>
        <w:rPr>
          <w:b/>
          <w:bCs/>
        </w:rPr>
        <w:t xml:space="preserve">Theorem 19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37" w:name="exm-row-null-disjoint"/>
    <w:p>
      <w:pPr>
        <w:pStyle w:val="BodyText"/>
      </w:pPr>
      <w:r>
        <w:rPr>
          <w:b/>
          <w:bCs/>
        </w:rPr>
        <w:t xml:space="preserve">Example 26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24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(@exm-null-space’s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37"/>
    <w:bookmarkStart w:id="138" w:name="thm-null-gram"/>
    <w:p>
      <w:pPr>
        <w:pStyle w:val="BodyText"/>
      </w:pPr>
      <w:r>
        <w:rPr>
          <w:b/>
          <w:bCs/>
        </w:rPr>
        <w:t xml:space="preserve">Theorem 20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(@exm-dot-product-matmul)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39" w:name="exm-null-gram"/>
    <w:p>
      <w:pPr>
        <w:pStyle w:val="BodyText"/>
      </w:pPr>
      <w:r>
        <w:rPr>
          <w:b/>
          <w:bCs/>
        </w:rPr>
        <w:t xml:space="preserve">Example 27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39"/>
    <w:bookmarkEnd w:id="140"/>
    <w:bookmarkStart w:id="146" w:name="outer-product"/>
    <w:p>
      <w:pPr>
        <w:pStyle w:val="Heading3"/>
      </w:pPr>
      <w:r>
        <w:t xml:space="preserve">2.11 Outer product</w:t>
      </w:r>
    </w:p>
    <w:bookmarkStart w:id="141" w:name="def-outer-product"/>
    <w:p>
      <w:pPr>
        <w:pStyle w:val="FirstParagraph"/>
      </w:pPr>
      <w:r>
        <w:rPr>
          <w:b/>
          <w:bCs/>
        </w:rPr>
        <w:t xml:space="preserve">Definition 34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141"/>
    <w:bookmarkStart w:id="142" w:name="exm-outer-product"/>
    <w:p>
      <w:pPr>
        <w:pStyle w:val="FirstParagraph"/>
      </w:pPr>
      <w:r>
        <w:rPr>
          <w:b/>
          <w:bCs/>
        </w:rPr>
        <w:t xml:space="preserve">Example 28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42"/>
    <w:bookmarkStart w:id="143" w:name="rem-outer-vs-dot-product"/>
    <w:p>
      <w:pPr>
        <w:pStyle w:val="FirstParagraph"/>
      </w:pPr>
      <w:r>
        <w:rPr>
          <w:i/>
          <w:iCs/>
        </w:rPr>
        <w:t xml:space="preserve">Remark 14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143"/>
    <w:bookmarkStart w:id="144" w:name="thm-outer-product-rank"/>
    <w:p>
      <w:pPr>
        <w:pStyle w:val="FirstParagraph"/>
      </w:pPr>
      <w:r>
        <w:rPr>
          <w:b/>
          <w:bCs/>
        </w:rPr>
        <w:t xml:space="preserve">Theorem 21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45" w:name="exm-outer-product-rank"/>
    <w:p>
      <w:pPr>
        <w:pStyle w:val="BodyText"/>
      </w:pPr>
      <w:r>
        <w:rPr>
          <w:b/>
          <w:bCs/>
        </w:rPr>
        <w:t xml:space="preserve">Example 29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45"/>
    <w:bookmarkEnd w:id="146"/>
    <w:bookmarkEnd w:id="147"/>
    <w:bookmarkStart w:id="1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148" w:name="def-square-matrix"/>
    <w:p>
      <w:pPr>
        <w:pStyle w:val="BodyText"/>
      </w:pPr>
      <w:r>
        <w:rPr>
          <w:b/>
          <w:bCs/>
        </w:rPr>
        <w:t xml:space="preserve">Definition 35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48"/>
    <w:bookmarkStart w:id="149" w:name="def-matrix-order"/>
    <w:p>
      <w:pPr>
        <w:pStyle w:val="BodyText"/>
      </w:pPr>
      <w:r>
        <w:rPr>
          <w:b/>
          <w:bCs/>
        </w:rPr>
        <w:t xml:space="preserve">Definition 36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49"/>
    <w:bookmarkStart w:id="150" w:name="def-matrix-power"/>
    <w:p>
      <w:pPr>
        <w:pStyle w:val="BodyText"/>
      </w:pPr>
      <w:r>
        <w:rPr>
          <w:b/>
          <w:bCs/>
        </w:rPr>
        <w:t xml:space="preserve">Definition 37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0"/>
    <w:bookmarkStart w:id="152" w:name="def-identity-matrix"/>
    <w:p>
      <w:pPr>
        <w:pStyle w:val="BodyText"/>
      </w:pPr>
      <w:r>
        <w:rPr>
          <w:b/>
          <w:bCs/>
        </w:rPr>
        <w:t xml:space="preserve">Definition 38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52"/>
    <w:bookmarkStart w:id="153" w:name="thm-identity"/>
    <w:p>
      <w:pPr>
        <w:pStyle w:val="BodyText"/>
      </w:pPr>
      <w:r>
        <w:rPr>
          <w:b/>
          <w:bCs/>
        </w:rPr>
        <w:t xml:space="preserve">Theorem 22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53"/>
    <w:bookmarkStart w:id="154" w:name="def-symmetric-matrix"/>
    <w:p>
      <w:pPr>
        <w:pStyle w:val="FirstParagraph"/>
      </w:pPr>
      <w:r>
        <w:rPr>
          <w:b/>
          <w:bCs/>
        </w:rPr>
        <w:t xml:space="preserve">Definition 39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54"/>
    <w:bookmarkStart w:id="155" w:name="rem-symmetric-in-statistics"/>
    <w:p>
      <w:pPr>
        <w:pStyle w:val="BodyText"/>
      </w:pPr>
      <w:r>
        <w:rPr>
          <w:i/>
          <w:iCs/>
        </w:rPr>
        <w:t xml:space="preserve">Remark 15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55"/>
    <w:bookmarkStart w:id="156" w:name="def-diagonal-matrix"/>
    <w:p>
      <w:pPr>
        <w:pStyle w:val="FirstParagraph"/>
      </w:pPr>
      <w:r>
        <w:rPr>
          <w:b/>
          <w:bCs/>
        </w:rPr>
        <w:t xml:space="preserve">Definition 40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56"/>
    <w:bookmarkStart w:id="157" w:name="rem-diag-notation"/>
    <w:p>
      <w:pPr>
        <w:pStyle w:val="FirstParagraph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7"/>
    <w:bookmarkStart w:id="158" w:name="def-matrix-inverse"/>
    <w:p>
      <w:pPr>
        <w:pStyle w:val="BodyText"/>
      </w:pPr>
      <w:r>
        <w:rPr>
          <w:b/>
          <w:bCs/>
        </w:rPr>
        <w:t xml:space="preserve">Definition 41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58"/>
    <w:bookmarkStart w:id="159" w:name="def-invertible-matrix"/>
    <w:p>
      <w:pPr>
        <w:pStyle w:val="FirstParagraph"/>
      </w:pPr>
      <w:r>
        <w:rPr>
          <w:b/>
          <w:bCs/>
        </w:rPr>
        <w:t xml:space="preserve">Definition 42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59"/>
    <w:bookmarkStart w:id="160" w:name="exm-invertible-matrix"/>
    <w:p>
      <w:pPr>
        <w:pStyle w:val="BodyText"/>
      </w:pPr>
      <w:r>
        <w:rPr>
          <w:b/>
          <w:bCs/>
        </w:rPr>
        <w:t xml:space="preserve">Example 30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60"/>
    <w:bookmarkStart w:id="161" w:name="rem-invertible-inverse"/>
    <w:p>
      <w:pPr>
        <w:pStyle w:val="BodyText"/>
      </w:pPr>
      <w:r>
        <w:rPr>
          <w:i/>
          <w:iCs/>
        </w:rPr>
        <w:t xml:space="preserve">Remark 17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61"/>
    <w:bookmarkStart w:id="162" w:name="thm-inverse-product"/>
    <w:p>
      <w:pPr>
        <w:pStyle w:val="BodyText"/>
      </w:pPr>
      <w:r>
        <w:rPr>
          <w:b/>
          <w:bCs/>
        </w:rPr>
        <w:t xml:space="preserve">Theorem 23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22</w:t>
        </w:r>
      </w:hyperlink>
      <w:r>
        <w:t xml:space="preserve">.</w:t>
      </w:r>
    </w:p>
    <w:bookmarkStart w:id="163" w:name="thm-inverse-transpose"/>
    <w:p>
      <w:pPr>
        <w:pStyle w:val="BodyText"/>
      </w:pPr>
      <w:r>
        <w:rPr>
          <w:b/>
          <w:bCs/>
        </w:rPr>
        <w:t xml:space="preserve">Theorem 24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64" w:name="exm-inverse-transpose"/>
    <w:p>
      <w:pPr>
        <w:pStyle w:val="BodyText"/>
      </w:pPr>
      <w:r>
        <w:rPr>
          <w:b/>
          <w:bCs/>
        </w:rPr>
        <w:t xml:space="preserve">Example 31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4"/>
    <w:bookmarkStart w:id="165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166" w:name="exm-inverse-symmetric"/>
    <w:p>
      <w:pPr>
        <w:pStyle w:val="BodyText"/>
      </w:pPr>
      <w:r>
        <w:rPr>
          <w:b/>
          <w:bCs/>
        </w:rPr>
        <w:t xml:space="preserve">Example 32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66"/>
    <w:bookmarkStart w:id="167" w:name="def-idempotent-matrix"/>
    <w:p>
      <w:pPr>
        <w:pStyle w:val="BodyText"/>
      </w:pPr>
      <w:r>
        <w:rPr>
          <w:b/>
          <w:bCs/>
        </w:rPr>
        <w:t xml:space="preserve">Definition 43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67"/>
    <w:bookmarkStart w:id="168" w:name="def-projection-matrix"/>
    <w:p>
      <w:pPr>
        <w:pStyle w:val="FirstParagraph"/>
      </w:pPr>
      <w:r>
        <w:rPr>
          <w:b/>
          <w:bCs/>
        </w:rPr>
        <w:t xml:space="preserve">Definition 44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43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68"/>
    <w:bookmarkStart w:id="169" w:name="def-oblique-projection"/>
    <w:p>
      <w:pPr>
        <w:pStyle w:val="FirstParagraph"/>
      </w:pPr>
      <w:r>
        <w:rPr>
          <w:b/>
          <w:bCs/>
        </w:rPr>
        <w:t xml:space="preserve">Definition 45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9"/>
    <w:bookmarkStart w:id="170" w:name="exm-projection-matrix"/>
    <w:p>
      <w:pPr>
        <w:pStyle w:val="BodyText"/>
      </w:pPr>
      <w:r>
        <w:rPr>
          <w:b/>
          <w:bCs/>
        </w:rPr>
        <w:t xml:space="preserve">Example 33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70"/>
    <w:bookmarkStart w:id="171" w:name="rem-projection-matrix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44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171"/>
    <w:bookmarkStart w:id="172" w:name="thm-projection-complement"/>
    <w:p>
      <w:pPr>
        <w:pStyle w:val="BodyText"/>
      </w:pPr>
      <w:r>
        <w:rPr>
          <w:b/>
          <w:bCs/>
        </w:rPr>
        <w:t xml:space="preserve">Theorem 25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73" w:name="thm-projection-orthogonal"/>
    <w:p>
      <w:pPr>
        <w:pStyle w:val="FirstParagraph"/>
      </w:pPr>
      <w:r>
        <w:rPr>
          <w:b/>
          <w:bCs/>
        </w:rPr>
        <w:t xml:space="preserve">Theorem 26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74" w:name="def-orthogonal-matrix"/>
    <w:p>
      <w:pPr>
        <w:pStyle w:val="BodyText"/>
      </w:pPr>
      <w:r>
        <w:rPr>
          <w:b/>
          <w:bCs/>
        </w:rPr>
        <w:t xml:space="preserve">Definition 46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74"/>
    <w:bookmarkStart w:id="175" w:name="exm-orthogonal-matrix"/>
    <w:p>
      <w:pPr>
        <w:pStyle w:val="FirstParagraph"/>
      </w:pPr>
      <w:r>
        <w:rPr>
          <w:b/>
          <w:bCs/>
        </w:rPr>
        <w:t xml:space="preserve">Example 34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75"/>
    <w:bookmarkStart w:id="176" w:name="rem-orthogonal-matrix-columns"/>
    <w:p>
      <w:pPr>
        <w:pStyle w:val="FirstParagraph"/>
      </w:pPr>
      <w:r>
        <w:rPr>
          <w:i/>
          <w:iCs/>
        </w:rPr>
        <w:t xml:space="preserve">Remark 19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6"/>
    <w:bookmarkStart w:id="177" w:name="thm-orthogonal-norm"/>
    <w:p>
      <w:pPr>
        <w:pStyle w:val="BodyText"/>
      </w:pPr>
      <w:r>
        <w:rPr>
          <w:b/>
          <w:bCs/>
        </w:rPr>
        <w:t xml:space="preserve">Theorem 27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78" w:name="exm-orthogonal-norm"/>
    <w:p>
      <w:pPr>
        <w:pStyle w:val="BodyText"/>
      </w:pPr>
      <w:r>
        <w:rPr>
          <w:b/>
          <w:bCs/>
        </w:rPr>
        <w:t xml:space="preserve">Example 35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78"/>
    <w:bookmarkEnd w:id="179"/>
    <w:bookmarkStart w:id="188" w:name="quadratic-forms"/>
    <w:p>
      <w:pPr>
        <w:pStyle w:val="Heading2"/>
      </w:pPr>
      <w:r>
        <w:t xml:space="preserve">4 Quadratic Forms</w:t>
      </w:r>
    </w:p>
    <w:bookmarkStart w:id="180" w:name="def-quadratic-form"/>
    <w:p>
      <w:pPr>
        <w:pStyle w:val="FirstParagraph"/>
      </w:pPr>
      <w:r>
        <w:rPr>
          <w:b/>
          <w:bCs/>
        </w:rPr>
        <w:t xml:space="preserve">Definition 47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80"/>
    <w:bookmarkStart w:id="183" w:name="rem-quadratic-forms-in-statistics"/>
    <w:p>
      <w:pPr>
        <w:pStyle w:val="BodyText"/>
      </w:pPr>
      <w:r>
        <w:rPr>
          <w:i/>
          <w:iCs/>
        </w:rPr>
        <w:t xml:space="preserve">Remark 20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19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9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83"/>
    <w:bookmarkStart w:id="184" w:name="def-symmetric-part"/>
    <w:p>
      <w:pPr>
        <w:pStyle w:val="FirstParagraph"/>
      </w:pPr>
      <w:r>
        <w:rPr>
          <w:b/>
          <w:bCs/>
        </w:rPr>
        <w:t xml:space="preserve">Definition 48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84"/>
    <w:bookmarkStart w:id="185" w:name="exm-symmetric-part"/>
    <w:p>
      <w:pPr>
        <w:pStyle w:val="FirstParagraph"/>
      </w:pPr>
      <w:r>
        <w:rPr>
          <w:b/>
          <w:bCs/>
        </w:rPr>
        <w:t xml:space="preserve">Example 36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85"/>
    <w:bookmarkStart w:id="186" w:name="thm-quadratic-form-symmetric"/>
    <w:p>
      <w:pPr>
        <w:pStyle w:val="BodyText"/>
      </w:pPr>
      <w:r>
        <w:rPr>
          <w:b/>
          <w:bCs/>
        </w:rPr>
        <w:t xml:space="preserve">Theorem 28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48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87" w:name="exm-quadratic-form-symmetric"/>
    <w:p>
      <w:pPr>
        <w:pStyle w:val="BodyText"/>
      </w:pPr>
      <w:r>
        <w:rPr>
          <w:b/>
          <w:bCs/>
        </w:rPr>
        <w:t xml:space="preserve">Example 37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87"/>
    <w:bookmarkEnd w:id="188"/>
    <w:bookmarkStart w:id="201" w:name="trace-and-matrix-inner-product"/>
    <w:p>
      <w:pPr>
        <w:pStyle w:val="Heading2"/>
      </w:pPr>
      <w:r>
        <w:t xml:space="preserve">5 Trace and Matrix Inner Product</w:t>
      </w:r>
    </w:p>
    <w:bookmarkStart w:id="189" w:name="def-trace"/>
    <w:p>
      <w:pPr>
        <w:pStyle w:val="FirstParagraph"/>
      </w:pPr>
      <w:r>
        <w:rPr>
          <w:b/>
          <w:bCs/>
        </w:rPr>
        <w:t xml:space="preserve">Definition 49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89"/>
    <w:bookmarkStart w:id="190" w:name="exm-trace"/>
    <w:p>
      <w:pPr>
        <w:pStyle w:val="FirstParagraph"/>
      </w:pPr>
      <w:r>
        <w:rPr>
          <w:b/>
          <w:bCs/>
        </w:rPr>
        <w:t xml:space="preserve">Example 38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90"/>
    <w:bookmarkStart w:id="191" w:name="thm-trace-cyclic"/>
    <w:p>
      <w:pPr>
        <w:pStyle w:val="FirstParagraph"/>
      </w:pPr>
      <w:r>
        <w:rPr>
          <w:b/>
          <w:bCs/>
        </w:rPr>
        <w:t xml:space="preserve">Theorem 29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192" w:name="exm-trace-cyclic"/>
    <w:p>
      <w:pPr>
        <w:pStyle w:val="FirstParagraph"/>
      </w:pPr>
      <w:r>
        <w:rPr>
          <w:b/>
          <w:bCs/>
        </w:rPr>
        <w:t xml:space="preserve">Example 39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92"/>
    <w:bookmarkStart w:id="193" w:name="rem-trace-cyclic-triple"/>
    <w:p>
      <w:pPr>
        <w:pStyle w:val="BodyText"/>
      </w:pPr>
      <w:r>
        <w:rPr>
          <w:i/>
          <w:iCs/>
        </w:rPr>
        <w:t xml:space="preserve">Remark 21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3"/>
    <w:bookmarkStart w:id="194" w:name="def-matrix-inner-product"/>
    <w:p>
      <w:pPr>
        <w:pStyle w:val="BodyText"/>
      </w:pPr>
      <w:r>
        <w:rPr>
          <w:b/>
          <w:bCs/>
        </w:rPr>
        <w:t xml:space="preserve">Definition 50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95" w:name="thm-matrix-inner-product-entries"/>
    <w:p>
      <w:pPr>
        <w:pStyle w:val="BodyText"/>
      </w:pPr>
      <w:r>
        <w:rPr>
          <w:b/>
          <w:bCs/>
        </w:rPr>
        <w:t xml:space="preserve">Theorem 30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196" w:name="exm-matrix-inner-product"/>
    <w:p>
      <w:pPr>
        <w:pStyle w:val="FirstParagraph"/>
      </w:pPr>
      <w:r>
        <w:rPr>
          <w:b/>
          <w:bCs/>
        </w:rPr>
        <w:t xml:space="preserve">Example 40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30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Start w:id="197" w:name="rem-matrix-inner-product-dot-product"/>
    <w:p>
      <w:pPr>
        <w:pStyle w:val="FirstParagraph"/>
      </w:pPr>
      <w:r>
        <w:rPr>
          <w:i/>
          <w:iCs/>
        </w:rPr>
        <w:t xml:space="preserve">Remark 22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197"/>
    <w:bookmarkStart w:id="198" w:name="def-frobenius-norm"/>
    <w:p>
      <w:pPr>
        <w:pStyle w:val="BodyText"/>
      </w:pPr>
      <w:r>
        <w:rPr>
          <w:b/>
          <w:bCs/>
        </w:rPr>
        <w:t xml:space="preserve">Definition 51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50</w:t>
        </w:r>
      </w:hyperlink>
      <w:r>
        <w:t xml:space="preserve">).</w:t>
      </w:r>
    </w:p>
    <w:bookmarkEnd w:id="198"/>
    <w:bookmarkStart w:id="199" w:name="exm-frobenius-norm"/>
    <w:p>
      <w:pPr>
        <w:pStyle w:val="BodyText"/>
      </w:pPr>
      <w:r>
        <w:rPr>
          <w:b/>
          <w:bCs/>
        </w:rPr>
        <w:t xml:space="preserve">Example 41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30</w:t>
        </w:r>
      </w:hyperlink>
      <w:r>
        <w:t xml:space="preserve">.</w:t>
      </w:r>
    </w:p>
    <w:bookmarkEnd w:id="199"/>
    <w:bookmarkStart w:id="200" w:name="rem-frobenius-norm-entries"/>
    <w:p>
      <w:pPr>
        <w:pStyle w:val="BodyText"/>
      </w:pPr>
      <w:r>
        <w:rPr>
          <w:i/>
          <w:iCs/>
        </w:rPr>
        <w:t xml:space="preserve">Remark 23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200"/>
    <w:bookmarkEnd w:id="201"/>
    <w:bookmarkStart w:id="221" w:name="matrix-decompositions"/>
    <w:p>
      <w:pPr>
        <w:pStyle w:val="Heading2"/>
      </w:pPr>
      <w:r>
        <w:t xml:space="preserve">6 Matrix Decompositions</w:t>
      </w:r>
    </w:p>
    <w:bookmarkStart w:id="202" w:name="def-eigenvalue"/>
    <w:p>
      <w:pPr>
        <w:pStyle w:val="FirstParagraph"/>
      </w:pPr>
      <w:r>
        <w:rPr>
          <w:b/>
          <w:bCs/>
        </w:rPr>
        <w:t xml:space="preserve">Definition 52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202"/>
    <w:bookmarkStart w:id="203" w:name="exm-eigenvalue"/>
    <w:p>
      <w:pPr>
        <w:pStyle w:val="BodyText"/>
      </w:pPr>
      <w:r>
        <w:rPr>
          <w:b/>
          <w:bCs/>
        </w:rPr>
        <w:t xml:space="preserve">Example 42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3"/>
    <w:bookmarkStart w:id="204" w:name="rem-eigenvector-multiples"/>
    <w:p>
      <w:pPr>
        <w:pStyle w:val="FirstParagraph"/>
      </w:pPr>
      <w:r>
        <w:rPr>
          <w:i/>
          <w:iCs/>
        </w:rPr>
        <w:t xml:space="preserve">Remark 24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bookmarkStart w:id="205" w:name="exm-not-eigenvector"/>
    <w:p>
      <w:pPr>
        <w:pStyle w:val="FirstParagraph"/>
      </w:pPr>
      <w:r>
        <w:rPr>
          <w:b/>
          <w:bCs/>
        </w:rPr>
        <w:t xml:space="preserve">Example 43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205"/>
    <w:bookmarkStart w:id="206" w:name="rem-real-eigenvalues"/>
    <w:p>
      <w:pPr>
        <w:pStyle w:val="BodyText"/>
      </w:pPr>
      <w:r>
        <w:rPr>
          <w:i/>
          <w:iCs/>
        </w:rPr>
        <w:t xml:space="preserve">Remark 25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206"/>
    <w:bookmarkStart w:id="207" w:name="thm-spectral"/>
    <w:p>
      <w:pPr>
        <w:pStyle w:val="BodyText"/>
      </w:pPr>
      <w:r>
        <w:rPr>
          <w:b/>
          <w:bCs/>
        </w:rPr>
        <w:t xml:space="preserve">Theorem 31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07"/>
    <w:bookmarkStart w:id="208" w:name="rem-spectral-equivalent-form"/>
    <w:p>
      <w:pPr>
        <w:pStyle w:val="BodyText"/>
      </w:pPr>
      <w:r>
        <w:rPr>
          <w:i/>
          <w:iCs/>
        </w:rPr>
        <w:t xml:space="preserve">Remark 26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on its diagonal.</w:t>
      </w:r>
    </w:p>
    <w:bookmarkEnd w:id="208"/>
    <w:bookmarkStart w:id="209" w:name="def-eigendecomposition"/>
    <w:p>
      <w:pPr>
        <w:pStyle w:val="BodyText"/>
      </w:pPr>
      <w:r>
        <w:rPr>
          <w:b/>
          <w:bCs/>
        </w:rPr>
        <w:t xml:space="preserve">Definition 53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40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209"/>
    <w:bookmarkStart w:id="210" w:name="exm-spectral"/>
    <w:p>
      <w:pPr>
        <w:pStyle w:val="BodyText"/>
      </w:pPr>
      <w:r>
        <w:rPr>
          <w:b/>
          <w:bCs/>
        </w:rPr>
        <w:t xml:space="preserve">Example 44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210"/>
    <w:bookmarkStart w:id="211" w:name="rem-eigendecomposition-not-unique"/>
    <w:p>
      <w:pPr>
        <w:pStyle w:val="BodyText"/>
      </w:pPr>
      <w:r>
        <w:rPr>
          <w:i/>
          <w:iCs/>
        </w:rPr>
        <w:t xml:space="preserve">Remark 27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44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bookmarkStart w:id="212" w:name="thm-svd"/>
    <w:p>
      <w:pPr>
        <w:pStyle w:val="FirstParagraph"/>
      </w:pPr>
      <w:r>
        <w:rPr>
          <w:b/>
          <w:bCs/>
        </w:rPr>
        <w:t xml:space="preserve">Theorem 32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212"/>
    <w:bookmarkStart w:id="213" w:name="rem-svd-any-matrix"/>
    <w:p>
      <w:pPr>
        <w:pStyle w:val="BodyText"/>
      </w:pPr>
      <w:r>
        <w:rPr>
          <w:i/>
          <w:iCs/>
        </w:rPr>
        <w:t xml:space="preserve">Remark 28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44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213"/>
    <w:bookmarkStart w:id="214" w:name="def-svd"/>
    <w:p>
      <w:pPr>
        <w:pStyle w:val="BodyText"/>
      </w:pPr>
      <w:r>
        <w:rPr>
          <w:b/>
          <w:bCs/>
        </w:rPr>
        <w:t xml:space="preserve">Definition 54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32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214"/>
    <w:bookmarkStart w:id="215" w:name="exm-svd"/>
    <w:p>
      <w:pPr>
        <w:pStyle w:val="BodyText"/>
      </w:pPr>
      <w:r>
        <w:rPr>
          <w:b/>
          <w:bCs/>
        </w:rPr>
        <w:t xml:space="preserve">Example 45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44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215"/>
    <w:bookmarkStart w:id="216" w:name="rem-svd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216"/>
    <w:bookmarkStart w:id="217" w:name="rem-svd-zero-singular-values"/>
    <w:p>
      <w:pPr>
        <w:pStyle w:val="BodyText"/>
      </w:pPr>
      <w:r>
        <w:rPr>
          <w:i/>
          <w:iCs/>
        </w:rPr>
        <w:t xml:space="preserve">Remark 30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217"/>
    <w:bookmarkStart w:id="218" w:name="thm-svd-evd"/>
    <w:p>
      <w:pPr>
        <w:pStyle w:val="BodyText"/>
      </w:pPr>
      <w:r>
        <w:rPr>
          <w:b/>
          <w:bCs/>
        </w:rPr>
        <w:t xml:space="preserve">Theorem 33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54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39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53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219" w:name="exm-svd-evd"/>
    <w:p>
      <w:pPr>
        <w:pStyle w:val="BodyText"/>
      </w:pPr>
      <w:r>
        <w:rPr>
          <w:b/>
          <w:bCs/>
        </w:rPr>
        <w:t xml:space="preserve">Example 46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45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bookmarkStart w:id="220" w:name="rem-svd-from-evd"/>
    <w:p>
      <w:pPr>
        <w:pStyle w:val="FirstParagraph"/>
      </w:pPr>
      <w:r>
        <w:rPr>
          <w:i/>
          <w:iCs/>
        </w:rPr>
        <w:t xml:space="preserve">Remark 31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45</w:t>
        </w:r>
      </w:hyperlink>
      <w:r>
        <w:t xml:space="preserve">.</w:t>
      </w:r>
    </w:p>
    <w:bookmarkEnd w:id="220"/>
    <w:bookmarkEnd w:id="221"/>
    <w:bookmarkStart w:id="232" w:name="definite-matrices"/>
    <w:p>
      <w:pPr>
        <w:pStyle w:val="Heading2"/>
      </w:pPr>
      <w:r>
        <w:t xml:space="preserve">7 Definite Matrices</w:t>
      </w:r>
    </w:p>
    <w:bookmarkStart w:id="222" w:name="def-positive-semidefinite"/>
    <w:p>
      <w:pPr>
        <w:pStyle w:val="FirstParagraph"/>
      </w:pPr>
      <w:r>
        <w:rPr>
          <w:b/>
          <w:bCs/>
        </w:rPr>
        <w:t xml:space="preserve">Definition 55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39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47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222"/>
    <w:bookmarkStart w:id="223" w:name="exm-positive-semidefinite"/>
    <w:p>
      <w:pPr>
        <w:pStyle w:val="FirstParagraph"/>
      </w:pPr>
      <w:r>
        <w:rPr>
          <w:b/>
          <w:bCs/>
        </w:rPr>
        <w:t xml:space="preserve">Example 47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223"/>
    <w:bookmarkStart w:id="224" w:name="def-positive-definite"/>
    <w:p>
      <w:pPr>
        <w:pStyle w:val="BodyText"/>
      </w:pPr>
      <w:r>
        <w:rPr>
          <w:b/>
          <w:bCs/>
        </w:rPr>
        <w:t xml:space="preserve">Definition 56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39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47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224"/>
    <w:bookmarkStart w:id="225" w:name="exm-positive-definite"/>
    <w:p>
      <w:pPr>
        <w:pStyle w:val="FirstParagraph"/>
      </w:pPr>
      <w:r>
        <w:rPr>
          <w:b/>
          <w:bCs/>
        </w:rPr>
        <w:t xml:space="preserve">Example 48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38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25"/>
    <w:bookmarkStart w:id="226" w:name="rem-positive-definite-symmetry"/>
    <w:p>
      <w:pPr>
        <w:pStyle w:val="FirstParagraph"/>
      </w:pPr>
      <w:r>
        <w:rPr>
          <w:i/>
          <w:iCs/>
        </w:rPr>
        <w:t xml:space="preserve">Remark 32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55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48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52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26"/>
    <w:p>
      <w:pPr>
        <w:pStyle w:val="BodyText"/>
      </w:pPr>
      <w:r>
        <w:t xml:space="preserve">See also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228" w:name="thm-definite-eigenvalues"/>
    <w:p>
      <w:pPr>
        <w:pStyle w:val="BodyText"/>
      </w:pPr>
      <w:r>
        <w:rPr>
          <w:b/>
          <w:bCs/>
        </w:rPr>
        <w:t xml:space="preserve">Theorem 34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229" w:name="exm-definite-eigenvalues"/>
    <w:p>
      <w:pPr>
        <w:pStyle w:val="BodyText"/>
      </w:pPr>
      <w:r>
        <w:rPr>
          <w:b/>
          <w:bCs/>
        </w:rPr>
        <w:t xml:space="preserve">Example 49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48</w:t>
        </w:r>
      </w:hyperlink>
      <w:r>
        <w:t xml:space="preserve"> </w:t>
      </w:r>
      <w:r>
        <w:t xml:space="preserve">found directly.</w:t>
      </w:r>
    </w:p>
    <w:bookmarkEnd w:id="229"/>
    <w:bookmarkStart w:id="230" w:name="thm-pd-inverse"/>
    <w:p>
      <w:pPr>
        <w:pStyle w:val="FirstParagraph"/>
      </w:pPr>
      <w:r>
        <w:rPr>
          <w:b/>
          <w:bCs/>
        </w:rPr>
        <w:t xml:space="preserve">Theorem 35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56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42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2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34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46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22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34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231" w:name="exm-pd-inverse"/>
    <w:p>
      <w:pPr>
        <w:pStyle w:val="BodyText"/>
      </w:pPr>
      <w:r>
        <w:rPr>
          <w:b/>
          <w:bCs/>
        </w:rPr>
        <w:t xml:space="preserve">Example 50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31"/>
    <w:bookmarkEnd w:id="232"/>
    <w:bookmarkStart w:id="245" w:name="determinants"/>
    <w:p>
      <w:pPr>
        <w:pStyle w:val="Heading2"/>
      </w:pPr>
      <w:r>
        <w:t xml:space="preserve">8 Determinants</w:t>
      </w:r>
    </w:p>
    <w:bookmarkStart w:id="233" w:name="def-determinant"/>
    <w:p>
      <w:pPr>
        <w:pStyle w:val="FirstParagraph"/>
      </w:pPr>
      <w:r>
        <w:rPr>
          <w:b/>
          <w:bCs/>
        </w:rPr>
        <w:t xml:space="preserve">Definition 57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233"/>
    <w:bookmarkStart w:id="234" w:name="exm-determinant"/>
    <w:p>
      <w:pPr>
        <w:pStyle w:val="FirstParagraph"/>
      </w:pPr>
      <w:r>
        <w:rPr>
          <w:b/>
          <w:bCs/>
        </w:rPr>
        <w:t xml:space="preserve">Example 51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4"/>
    <w:bookmarkStart w:id="235" w:name="rem-determinant-cofactor-expansion"/>
    <w:p>
      <w:pPr>
        <w:pStyle w:val="BodyText"/>
      </w:pPr>
      <w:r>
        <w:rPr>
          <w:i/>
          <w:iCs/>
        </w:rPr>
        <w:t xml:space="preserve">Remark 33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57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51</w:t>
        </w:r>
      </w:hyperlink>
      <w:r>
        <w:t xml:space="preserve">.</w:t>
      </w:r>
    </w:p>
    <w:bookmarkEnd w:id="235"/>
    <w:p>
      <w:pPr>
        <w:pStyle w:val="BodyText"/>
      </w:pPr>
      <w:r>
        <w:t xml:space="preserve">See also</w:t>
      </w:r>
      <w:r>
        <w:t xml:space="preserve"> </w:t>
      </w:r>
      <w:hyperlink r:id="rId2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37" w:name="thm-det-diagonal"/>
    <w:p>
      <w:pPr>
        <w:pStyle w:val="BodyText"/>
      </w:pPr>
      <w:r>
        <w:rPr>
          <w:b/>
          <w:bCs/>
        </w:rPr>
        <w:t xml:space="preserve">Theorem 36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57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238" w:name="exm-det-diagonal"/>
    <w:p>
      <w:pPr>
        <w:pStyle w:val="FirstParagraph"/>
      </w:pPr>
      <w:r>
        <w:rPr>
          <w:b/>
          <w:bCs/>
        </w:rPr>
        <w:t xml:space="preserve">Example 52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8"/>
    <w:bookmarkStart w:id="239" w:name="thm-det-product"/>
    <w:p>
      <w:pPr>
        <w:pStyle w:val="BodyText"/>
      </w:pPr>
      <w:r>
        <w:rPr>
          <w:b/>
          <w:bCs/>
        </w:rPr>
        <w:t xml:space="preserve">Theorem 37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9"/>
    <w:bookmarkStart w:id="240" w:name="exm-det-product"/>
    <w:p>
      <w:pPr>
        <w:pStyle w:val="FirstParagraph"/>
      </w:pPr>
      <w:r>
        <w:rPr>
          <w:b/>
          <w:bCs/>
        </w:rPr>
        <w:t xml:space="preserve">Example 53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240"/>
    <w:bookmarkStart w:id="241" w:name="rem-det-product-proof"/>
    <w:p>
      <w:pPr>
        <w:pStyle w:val="BodyText"/>
      </w:pPr>
      <w:r>
        <w:rPr>
          <w:i/>
          <w:iCs/>
        </w:rPr>
        <w:t xml:space="preserve">Remark 34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241"/>
    <w:p>
      <w:pPr>
        <w:pStyle w:val="BodyText"/>
      </w:pPr>
      <w:r>
        <w:t xml:space="preserve">See also</w:t>
      </w:r>
      <w:r>
        <w:t xml:space="preserve"> </w:t>
      </w:r>
      <w:hyperlink r:id="rId2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42" w:name="thm-det-eigenvalues"/>
    <w:p>
      <w:pPr>
        <w:pStyle w:val="BodyText"/>
      </w:pPr>
      <w:r>
        <w:rPr>
          <w:b/>
          <w:bCs/>
        </w:rPr>
        <w:t xml:space="preserve">Theorem 38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37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46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52</w:t>
        </w:r>
      </w:hyperlink>
      <w:r>
        <w:t xml:space="preserve">.</w:t>
      </w:r>
    </w:p>
    <w:bookmarkStart w:id="243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34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44" w:name="exm-det-eigenvalues"/>
    <w:p>
      <w:pPr>
        <w:pStyle w:val="BodyText"/>
      </w:pPr>
      <w:r>
        <w:rPr>
          <w:b/>
          <w:bCs/>
        </w:rPr>
        <w:t xml:space="preserve">Example 54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51</w:t>
        </w:r>
      </w:hyperlink>
      <w:r>
        <w:t xml:space="preserve">.</w:t>
      </w:r>
    </w:p>
    <w:bookmarkEnd w:id="244"/>
    <w:bookmarkEnd w:id="245"/>
    <w:bookmarkStart w:id="255" w:name="design-matrix"/>
    <w:p>
      <w:pPr>
        <w:pStyle w:val="Heading2"/>
      </w:pPr>
      <w:r>
        <w:t xml:space="preserve">9 Design Matrix</w:t>
      </w:r>
    </w:p>
    <w:bookmarkStart w:id="246" w:name="def-design-matrix"/>
    <w:p>
      <w:pPr>
        <w:pStyle w:val="FirstParagraph"/>
      </w:pPr>
      <w:r>
        <w:rPr>
          <w:b/>
          <w:bCs/>
        </w:rPr>
        <w:t xml:space="preserve">Definition 58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46"/>
    <w:bookmarkStart w:id="247" w:name="rem-design-matrix-products"/>
    <w:p>
      <w:pPr>
        <w:pStyle w:val="FirstParagraph"/>
      </w:pPr>
      <w:r>
        <w:rPr>
          <w:i/>
          <w:iCs/>
        </w:rPr>
        <w:t xml:space="preserve">Remark 35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7"/>
    <w:bookmarkStart w:id="248" w:name="thm-gram-invertible"/>
    <w:p>
      <w:pPr>
        <w:pStyle w:val="BodyText"/>
      </w:pPr>
      <w:r>
        <w:rPr>
          <w:b/>
          <w:bCs/>
        </w:rPr>
        <w:t xml:space="preserve">Theorem 39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2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249" w:name="exm-gram-invertible"/>
    <w:p>
      <w:pPr>
        <w:pStyle w:val="BodyText"/>
      </w:pPr>
      <w:r>
        <w:rPr>
          <w:b/>
          <w:bCs/>
        </w:rPr>
        <w:t xml:space="preserve">Example 55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49"/>
    <w:bookmarkStart w:id="250" w:name="def-hat-matrix"/>
    <w:p>
      <w:pPr>
        <w:pStyle w:val="BodyText"/>
      </w:pPr>
      <w:r>
        <w:rPr>
          <w:b/>
          <w:bCs/>
        </w:rPr>
        <w:t xml:space="preserve">Definition 59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58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39</w:t>
        </w:r>
      </w:hyperlink>
      <w:r>
        <w:t xml:space="preserve">.</w:t>
      </w:r>
    </w:p>
    <w:bookmarkEnd w:id="250"/>
    <w:bookmarkStart w:id="251" w:name="exm-hat-matrix"/>
    <w:p>
      <w:pPr>
        <w:pStyle w:val="BodyText"/>
      </w:pPr>
      <w:r>
        <w:rPr>
          <w:b/>
          <w:bCs/>
        </w:rPr>
        <w:t xml:space="preserve">Example 56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251"/>
    <w:bookmarkStart w:id="252" w:name="thm-hat-matrix"/>
    <w:p>
      <w:pPr>
        <w:pStyle w:val="BodyText"/>
      </w:pPr>
      <w:r>
        <w:rPr>
          <w:b/>
          <w:bCs/>
        </w:rPr>
        <w:t xml:space="preserve">Theorem 40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59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2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3" w:name="exm-hat-matrix-projection"/>
    <w:p>
      <w:pPr>
        <w:pStyle w:val="FirstParagraph"/>
      </w:pPr>
      <w:r>
        <w:rPr>
          <w:b/>
          <w:bCs/>
        </w:rPr>
        <w:t xml:space="preserve">Example 57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says.</w:t>
      </w:r>
    </w:p>
    <w:bookmarkEnd w:id="253"/>
    <w:bookmarkStart w:id="254" w:name="rem-hat-matrix-name"/>
    <w:p>
      <w:pPr>
        <w:pStyle w:val="BodyText"/>
      </w:pPr>
      <w:r>
        <w:rPr>
          <w:i/>
          <w:iCs/>
        </w:rPr>
        <w:t xml:space="preserve">Remark 36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54"/>
    <w:bookmarkEnd w:id="255"/>
    <w:bookmarkStart w:id="256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6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26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26"/>
        </w:numPr>
      </w:pPr>
      <w:r>
        <w:t xml:space="preserve">Fieller (2016)</w:t>
      </w:r>
    </w:p>
    <w:p>
      <w:pPr>
        <w:pStyle w:val="Compact"/>
        <w:numPr>
          <w:ilvl w:val="0"/>
          <w:numId w:val="1026"/>
        </w:numPr>
      </w:pPr>
      <w:r>
        <w:t xml:space="preserve">Banerjee and Roy (2014)</w:t>
      </w:r>
    </w:p>
    <w:p>
      <w:pPr>
        <w:pStyle w:val="Compact"/>
        <w:numPr>
          <w:ilvl w:val="0"/>
          <w:numId w:val="1026"/>
        </w:numPr>
      </w:pPr>
      <w:r>
        <w:t xml:space="preserve">Searle and Khuri (2017)</w:t>
      </w:r>
    </w:p>
    <w:bookmarkEnd w:id="256"/>
    <w:bookmarkStart w:id="277" w:name="references"/>
    <w:p>
      <w:pPr>
        <w:pStyle w:val="Heading2"/>
      </w:pPr>
      <w:r>
        <w:t xml:space="preserve">References</w:t>
      </w:r>
    </w:p>
    <w:bookmarkStart w:id="276" w:name="refs"/>
    <w:bookmarkStart w:id="25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8"/>
    <w:bookmarkStart w:id="2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60"/>
    <w:bookmarkStart w:id="2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62"/>
    <w:bookmarkStart w:id="264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3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4"/>
    <w:bookmarkStart w:id="266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265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266"/>
    <w:bookmarkStart w:id="2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68"/>
    <w:bookmarkStart w:id="2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70"/>
    <w:bookmarkStart w:id="271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271"/>
    <w:bookmarkStart w:id="273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272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273"/>
    <w:bookmarkStart w:id="275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4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275"/>
    <w:bookmarkEnd w:id="276"/>
    <w:bookmarkEnd w:id="2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49" Target="media/rId49.png" /><Relationship Type="http://schemas.openxmlformats.org/officeDocument/2006/relationships/hyperlink" Id="rId257" Target="https://doi.org/10.1007/978-3-031-41026-0" TargetMode="External" /><Relationship Type="http://schemas.openxmlformats.org/officeDocument/2006/relationships/hyperlink" Id="rId261" Target="https://doi.org/10.1201/9781315182780" TargetMode="External" /><Relationship Type="http://schemas.openxmlformats.org/officeDocument/2006/relationships/hyperlink" Id="rId263" Target="https://doi.org/10.1201/9781315370200" TargetMode="External" /><Relationship Type="http://schemas.openxmlformats.org/officeDocument/2006/relationships/hyperlink" Id="rId227" Target="https://en.wikipedia.org/wiki/Definite_matrix" TargetMode="External" /><Relationship Type="http://schemas.openxmlformats.org/officeDocument/2006/relationships/hyperlink" Id="rId23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67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272" Target="https://math.mit.edu/~gs/linearalgebra/" TargetMode="External" /><Relationship Type="http://schemas.openxmlformats.org/officeDocument/2006/relationships/hyperlink" Id="rId182" Target="https://morrison-lab.github.io/rme/chapters/Linear-models-overview.html#sec-infer-LMs" TargetMode="External" /><Relationship Type="http://schemas.openxmlformats.org/officeDocument/2006/relationships/hyperlink" Id="rId274" Target="https://ucla-biostat-216.github.io/2024fall/slides/04-vecsp/04-vecsp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65" Target="https://www.deeplearningbook.org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259" Target="https://www.routledge.com/Linear-Algebra-and-Matrix-Analysis-for-Statistics/Banerjee-Roy/p/book/9781420095388" TargetMode="External" /><Relationship Type="http://schemas.openxmlformats.org/officeDocument/2006/relationships/hyperlink" Id="rId151" Target="notation.qmd#def-kronecker-delta" TargetMode="External" /><Relationship Type="http://schemas.openxmlformats.org/officeDocument/2006/relationships/hyperlink" Id="rId18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7" Target="https://doi.org/10.1007/978-3-031-41026-0" TargetMode="External" /><Relationship Type="http://schemas.openxmlformats.org/officeDocument/2006/relationships/hyperlink" Id="rId261" Target="https://doi.org/10.1201/9781315182780" TargetMode="External" /><Relationship Type="http://schemas.openxmlformats.org/officeDocument/2006/relationships/hyperlink" Id="rId263" Target="https://doi.org/10.1201/9781315370200" TargetMode="External" /><Relationship Type="http://schemas.openxmlformats.org/officeDocument/2006/relationships/hyperlink" Id="rId227" Target="https://en.wikipedia.org/wiki/Definite_matrix" TargetMode="External" /><Relationship Type="http://schemas.openxmlformats.org/officeDocument/2006/relationships/hyperlink" Id="rId23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67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272" Target="https://math.mit.edu/~gs/linearalgebra/" TargetMode="External" /><Relationship Type="http://schemas.openxmlformats.org/officeDocument/2006/relationships/hyperlink" Id="rId182" Target="https://morrison-lab.github.io/rme/chapters/Linear-models-overview.html#sec-infer-LMs" TargetMode="External" /><Relationship Type="http://schemas.openxmlformats.org/officeDocument/2006/relationships/hyperlink" Id="rId274" Target="https://ucla-biostat-216.github.io/2024fall/slides/04-vecsp/04-vecsp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65" Target="https://www.deeplearningbook.org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259" Target="https://www.routledge.com/Linear-Algebra-and-Matrix-Analysis-for-Statistics/Banerjee-Roy/p/book/9781420095388" TargetMode="External" /><Relationship Type="http://schemas.openxmlformats.org/officeDocument/2006/relationships/hyperlink" Id="rId151" Target="notation.qmd#def-kronecker-delta" TargetMode="External" /><Relationship Type="http://schemas.openxmlformats.org/officeDocument/2006/relationships/hyperlink" Id="rId18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2026-10-05T05:02:41Z</dcterms:created>
  <dcterms:modified xsi:type="dcterms:W3CDTF">2026-10-05T05:02:41Z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21:55:44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