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22:02:47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4" w:name="definite-matrices"/>
    <w:p>
      <w:pPr>
        <w:pStyle w:val="Heading2"/>
      </w:pPr>
      <w:r>
        <w:t xml:space="preserve">7 Definite Matrices</w:t>
      </w:r>
    </w:p>
    <w:bookmarkStart w:id="125" w:name="def-positive-semidefinite"/>
    <w:p>
      <w:pPr>
        <w:pStyle w:val="FirstParagraph"/>
      </w:pPr>
      <w:r>
        <w:rPr>
          <w:b/>
          <w:bCs/>
        </w:rPr>
        <w:t xml:space="preserve">Definition 40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32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5"/>
    <w:bookmarkStart w:id="126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6"/>
    <w:bookmarkStart w:id="127" w:name="def-positive-definite"/>
    <w:p>
      <w:pPr>
        <w:pStyle w:val="BodyText"/>
      </w:pPr>
      <w:r>
        <w:rPr>
          <w:b/>
          <w:bCs/>
        </w:rPr>
        <w:t xml:space="preserve">Definition 41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32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29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24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1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31"/>
    <w:bookmarkStart w:id="132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41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28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3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3"/>
    <w:bookmarkEnd w:id="134"/>
    <w:bookmarkStart w:id="145" w:name="determinants"/>
    <w:p>
      <w:pPr>
        <w:pStyle w:val="Heading2"/>
      </w:pPr>
      <w:r>
        <w:t xml:space="preserve">8 Determinants</w:t>
      </w:r>
    </w:p>
    <w:bookmarkStart w:id="135" w:name="def-determinant"/>
    <w:p>
      <w:pPr>
        <w:pStyle w:val="FirstParagraph"/>
      </w:pPr>
      <w:r>
        <w:rPr>
          <w:b/>
          <w:bCs/>
        </w:rPr>
        <w:t xml:space="preserve">Definition 42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37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7"/>
    <w:bookmarkStart w:id="13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39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1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4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44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44"/>
    <w:bookmarkEnd w:id="145"/>
    <w:bookmarkStart w:id="153" w:name="design-matrix"/>
    <w:p>
      <w:pPr>
        <w:pStyle w:val="Heading2"/>
      </w:pPr>
      <w:r>
        <w:t xml:space="preserve">9 Design Matrix</w:t>
      </w:r>
    </w:p>
    <w:bookmarkStart w:id="146" w:name="def-design-matrix"/>
    <w:p>
      <w:pPr>
        <w:pStyle w:val="FirstParagraph"/>
      </w:pPr>
      <w:r>
        <w:rPr>
          <w:b/>
          <w:bCs/>
        </w:rPr>
        <w:t xml:space="preserve">Definition 43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46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7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48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def-hat-matrix"/>
    <w:p>
      <w:pPr>
        <w:pStyle w:val="BodyText"/>
      </w:pPr>
      <w:r>
        <w:rPr>
          <w:b/>
          <w:bCs/>
        </w:rPr>
        <w:t xml:space="preserve">Definition 44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49"/>
    <w:bookmarkStart w:id="150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50"/>
    <w:bookmarkStart w:id="151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52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53"/>
    <w:bookmarkStart w:id="154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0"/>
        </w:numPr>
      </w:pPr>
      <w:r>
        <w:t xml:space="preserve">Fieller (2016)</w:t>
      </w:r>
    </w:p>
    <w:p>
      <w:pPr>
        <w:pStyle w:val="Compact"/>
        <w:numPr>
          <w:ilvl w:val="0"/>
          <w:numId w:val="1010"/>
        </w:numPr>
      </w:pPr>
      <w:r>
        <w:t xml:space="preserve">Banerjee and Roy (2014)</w:t>
      </w:r>
    </w:p>
    <w:p>
      <w:pPr>
        <w:pStyle w:val="Compact"/>
        <w:numPr>
          <w:ilvl w:val="0"/>
          <w:numId w:val="1010"/>
        </w:numPr>
      </w:pPr>
      <w:r>
        <w:t xml:space="preserve">Searle and Khuri (2017)</w:t>
      </w:r>
    </w:p>
    <w:bookmarkEnd w:id="154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5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6"/>
    <w:bookmarkStart w:id="1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64"/>
    <w:bookmarkStart w:id="16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57" Target="https://doi.org/10.1201/9781315182780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28" Target="https://en.wikipedia.org/wiki/Definite_matrix" TargetMode="External" /><Relationship Type="http://schemas.openxmlformats.org/officeDocument/2006/relationships/hyperlink" Id="rId136" Target="https://en.wikipedia.org/wiki/Determinant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63" Target="https://www.mosaic-web.org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https://doi.org/10.1201/9781315182780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28" Target="https://en.wikipedia.org/wiki/Definite_matrix" TargetMode="External" /><Relationship Type="http://schemas.openxmlformats.org/officeDocument/2006/relationships/hyperlink" Id="rId136" Target="https://en.wikipedia.org/wiki/Determinant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63" Target="https://www.mosaic-web.org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2026-09-29T05:09:11Z</dcterms:created>
  <dcterms:modified xsi:type="dcterms:W3CDTF">2026-09-29T05:09:11Z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22:02:47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