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del w:id="1" w:author="PR Preview" w:date="2026-01-01T00:00:00Z">
        <w:r>
          <w:delText xml:space="preserve">Last modified: 2026-10-12 19:40:12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20:19:17 (PDT)</w:t>
        </w:r>
      </w:ins>
    </w:p>
    <w:bookmarkStart w:id="30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12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11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7" w:name="exm-jensen"/>
    <w:p>
      <w:pPr>
        <w:pStyle w:val="FirstParagraph"/>
      </w:pPr>
      <w:r>
        <w:rPr>
          <w:b/>
          <w:bCs/>
        </w:rPr>
        <w:t xml:space="preserve">Example 5 (The mean of the squares is at least the square of the mean)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mean,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mean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mean,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is the variance of the three points.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a variance is never negative.</w:t>
      </w:r>
    </w:p>
    <w:bookmarkEnd w:id="27"/>
    <w:bookmarkStart w:id="29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8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29"/>
    <w:bookmarkEnd w:id="30"/>
    <w:bookmarkStart w:id="45" w:name="infimum-and-supremum"/>
    <w:p>
      <w:pPr>
        <w:pStyle w:val="Heading2"/>
      </w:pPr>
      <w:r>
        <w:t xml:space="preserve">2 Infimum and supremum</w:t>
      </w:r>
    </w:p>
    <w:bookmarkStart w:id="32" w:name="def-bounded"/>
    <w:p>
      <w:pPr>
        <w:pStyle w:val="FirstParagraph"/>
      </w:pPr>
      <w:r>
        <w:rPr>
          <w:b/>
          <w:bCs/>
        </w:rPr>
        <w:t xml:space="preserve">Definition 4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31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2"/>
    <w:bookmarkStart w:id="33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3"/>
    <w:bookmarkStart w:id="36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4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5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37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38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38"/>
    <w:bookmarkStart w:id="39" w:name="def-infimum"/>
    <w:p>
      <w:pPr>
        <w:pStyle w:val="BodyText"/>
      </w:pPr>
      <w:r>
        <w:rPr>
          <w:b/>
          <w:bCs/>
        </w:rPr>
        <w:t xml:space="preserve">Definition 5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39"/>
    <w:bookmarkStart w:id="40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0"/>
    <w:bookmarkStart w:id="41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1"/>
    <w:bookmarkStart w:id="42" w:name="def-supremum"/>
    <w:p>
      <w:pPr>
        <w:pStyle w:val="FirstParagraph"/>
      </w:pPr>
      <w:r>
        <w:rPr>
          <w:b/>
          <w:bCs/>
        </w:rPr>
        <w:t xml:space="preserve">Definition 6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2"/>
    <w:bookmarkStart w:id="43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3"/>
    <w:bookmarkStart w:id="44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4"/>
    <w:bookmarkEnd w:id="45"/>
    <w:bookmarkStart w:id="58" w:name="sums"/>
    <w:p>
      <w:pPr>
        <w:pStyle w:val="Heading2"/>
      </w:pPr>
      <w:r>
        <w:t xml:space="preserve">3 Sums</w:t>
      </w:r>
    </w:p>
    <w:bookmarkStart w:id="46" w:name="def-term"/>
    <w:p>
      <w:pPr>
        <w:pStyle w:val="FirstParagraph"/>
      </w:pPr>
      <w:r>
        <w:rPr>
          <w:b/>
          <w:bCs/>
        </w:rPr>
        <w:t xml:space="preserve">Definition 7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46"/>
    <w:bookmarkStart w:id="47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47"/>
    <w:bookmarkStart w:id="48" w:name="def-identity-element"/>
    <w:p>
      <w:pPr>
        <w:pStyle w:val="FirstParagraph"/>
      </w:pPr>
      <w:r>
        <w:rPr>
          <w:b/>
          <w:bCs/>
        </w:rPr>
        <w:t xml:space="preserve">Definition 8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48"/>
    <w:bookmarkStart w:id="49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49"/>
    <w:bookmarkStart w:id="50" w:name="def-commutative"/>
    <w:p>
      <w:pPr>
        <w:pStyle w:val="FirstParagraph"/>
      </w:pPr>
      <w:r>
        <w:rPr>
          <w:b/>
          <w:bCs/>
        </w:rPr>
        <w:t xml:space="preserve">Definition 9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50"/>
    <w:bookmarkStart w:id="51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1"/>
    <w:bookmarkStart w:id="52" w:name="def-associative"/>
    <w:p>
      <w:pPr>
        <w:pStyle w:val="FirstParagraph"/>
      </w:pPr>
      <w:r>
        <w:rPr>
          <w:b/>
          <w:bCs/>
        </w:rPr>
        <w:t xml:space="preserve">Definition 10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2"/>
    <w:bookmarkStart w:id="53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3"/>
    <w:bookmarkStart w:id="54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4"/>
    <w:bookmarkStart w:id="55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55"/>
    <w:bookmarkStart w:id="56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56"/>
    <w:bookmarkStart w:id="57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7"/>
    <w:bookmarkEnd w:id="58"/>
    <w:bookmarkStart w:id="62" w:name="products"/>
    <w:p>
      <w:pPr>
        <w:pStyle w:val="Heading2"/>
      </w:pPr>
      <w:r>
        <w:t xml:space="preserve">4 Products</w:t>
      </w:r>
    </w:p>
    <w:bookmarkStart w:id="59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9"/>
    <w:bookmarkStart w:id="60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0"/>
    <w:bookmarkStart w:id="61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1"/>
    <w:bookmarkEnd w:id="62"/>
    <w:bookmarkStart w:id="64" w:name="division"/>
    <w:p>
      <w:pPr>
        <w:pStyle w:val="Heading2"/>
      </w:pPr>
      <w:r>
        <w:t xml:space="preserve">5 Division</w:t>
      </w:r>
    </w:p>
    <w:bookmarkStart w:id="63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3"/>
    <w:bookmarkEnd w:id="64"/>
    <w:bookmarkStart w:id="74" w:name="sums-and-products-together"/>
    <w:p>
      <w:pPr>
        <w:pStyle w:val="Heading2"/>
      </w:pPr>
      <w:r>
        <w:t xml:space="preserve">6 Sums and products together</w:t>
      </w:r>
    </w:p>
    <w:bookmarkStart w:id="65" w:name="def-distributive"/>
    <w:p>
      <w:pPr>
        <w:pStyle w:val="FirstParagraph"/>
      </w:pPr>
      <w:r>
        <w:rPr>
          <w:b/>
          <w:bCs/>
        </w:rPr>
        <w:t xml:space="preserve">Definition 11 (Distributive law)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addition,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);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65"/>
    <w:bookmarkStart w:id="66" w:name="exm-distributive"/>
    <w:p>
      <w:pPr>
        <w:pStyle w:val="BodyText"/>
      </w:pPr>
      <w:r>
        <w:rPr>
          <w:b/>
          <w:bCs/>
        </w:rPr>
        <w:t xml:space="preserve">Example 15 (Multiplication distributes over addition, but not the reverse)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Addition does not distribute over multiplication: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thm-mult-distr"/>
    <w:p>
      <w:pPr>
        <w:pStyle w:val="FirstParagraph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67"/>
    <w:bookmarkStart w:id="68" w:name="def-like-terms"/>
    <w:p>
      <w:pPr>
        <w:pStyle w:val="FirstParagraph"/>
      </w:pPr>
      <w:r>
        <w:rPr>
          <w:b/>
          <w:bCs/>
        </w:rPr>
        <w:t xml:space="preserve">Definition 12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68"/>
    <w:bookmarkStart w:id="69" w:name="exm-like-terms"/>
    <w:p>
      <w:pPr>
        <w:pStyle w:val="BodyText"/>
      </w:pPr>
      <w:r>
        <w:rPr>
          <w:b/>
          <w:bCs/>
        </w:rPr>
        <w:t xml:space="preserve">Example 16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3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69"/>
    <w:bookmarkStart w:id="70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0"/>
    <w:bookmarkStart w:id="71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1"/>
    <w:bookmarkStart w:id="72" w:name="thm-square-of-a-sum"/>
    <w:p>
      <w:pPr>
        <w:pStyle w:val="BodyText"/>
      </w:pPr>
      <w:r>
        <w:rPr>
          <w:b/>
          <w:bCs/>
        </w:rPr>
        <w:t xml:space="preserve">Theorem 12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73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End w:id="74"/>
    <w:bookmarkStart w:id="93" w:name="sec-summation"/>
    <w:p>
      <w:pPr>
        <w:pStyle w:val="Heading2"/>
      </w:pPr>
      <w:r>
        <w:t xml:space="preserve">7 Summation notation</w:t>
      </w:r>
    </w:p>
    <w:bookmarkStart w:id="75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4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4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75"/>
    <w:bookmarkStart w:id="76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5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76"/>
    <w:bookmarkStart w:id="77" w:name="def-summation"/>
    <w:p>
      <w:pPr>
        <w:pStyle w:val="FirstParagraph"/>
      </w:pPr>
      <w:r>
        <w:rPr>
          <w:b/>
          <w:bCs/>
        </w:rPr>
        <w:t xml:space="preserve">Definition 13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77"/>
    <w:bookmarkStart w:id="78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8"/>
    <w:bookmarkStart w:id="79" w:name="def-empty-sum"/>
    <w:p>
      <w:pPr>
        <w:pStyle w:val="FirstParagraph"/>
      </w:pPr>
      <w:r>
        <w:rPr>
          <w:b/>
          <w:bCs/>
        </w:rPr>
        <w:t xml:space="preserve">Definition 14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9"/>
    <w:bookmarkStart w:id="80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6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80"/>
    <w:bookmarkStart w:id="81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13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7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81"/>
    <w:bookmarkStart w:id="82" w:name="thm-sum-constant-factor"/>
    <w:p>
      <w:pPr>
        <w:pStyle w:val="BodyText"/>
      </w:pPr>
      <w:r>
        <w:rPr>
          <w:b/>
          <w:bCs/>
        </w:rPr>
        <w:t xml:space="preserve">Theorem 13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83" w:name="thm-sum-of-sums"/>
    <w:p>
      <w:pPr>
        <w:pStyle w:val="BodyText"/>
      </w:pPr>
      <w:r>
        <w:rPr>
          <w:b/>
          <w:bCs/>
        </w:rPr>
        <w:t xml:space="preserve">Theorem 14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84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8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84"/>
    <w:bookmarkStart w:id="85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9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9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85"/>
    <w:bookmarkStart w:id="88" w:name="def-sum-over-set"/>
    <w:p>
      <w:pPr>
        <w:pStyle w:val="FirstParagraph"/>
      </w:pPr>
      <w:r>
        <w:rPr>
          <w:b/>
          <w:bCs/>
        </w:rPr>
        <w:t xml:space="preserve">Definition 15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86">
        <w:r>
          <w:rPr>
            <w:rStyle w:val="Hyperlink"/>
          </w:rPr>
          <w:t xml:space="preserve">finite</w:t>
        </w:r>
      </w:hyperlink>
      <w:r>
        <w:t xml:space="preserve"> </w:t>
      </w:r>
      <w:hyperlink r:id="rId87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8"/>
    <w:bookmarkStart w:id="89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13</w:t>
        </w:r>
      </w:hyperlink>
      <w:r>
        <w:t xml:space="preserve">.</w:t>
      </w:r>
    </w:p>
    <w:bookmarkEnd w:id="89"/>
    <w:bookmarkStart w:id="92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90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91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92"/>
    <w:bookmarkEnd w:id="93"/>
    <w:bookmarkStart w:id="114" w:name="quotients"/>
    <w:p>
      <w:pPr>
        <w:pStyle w:val="Heading2"/>
      </w:pPr>
      <w:r>
        <w:t xml:space="preserve">8 Quotients</w:t>
      </w:r>
    </w:p>
    <w:bookmarkStart w:id="94" w:name="def-quotient"/>
    <w:p>
      <w:pPr>
        <w:pStyle w:val="FirstParagraph"/>
      </w:pPr>
      <w:r>
        <w:rPr>
          <w:b/>
          <w:bCs/>
        </w:rPr>
        <w:t xml:space="preserve">Definition 16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94"/>
    <w:bookmarkStart w:id="95" w:name="def-fraction"/>
    <w:p>
      <w:pPr>
        <w:pStyle w:val="FirstParagraph"/>
      </w:pPr>
      <w:r>
        <w:rPr>
          <w:b/>
          <w:bCs/>
        </w:rPr>
        <w:t xml:space="preserve">Definition 17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16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95"/>
    <w:bookmarkStart w:id="96" w:name="exm-quotient"/>
    <w:p>
      <w:pPr>
        <w:pStyle w:val="BodyText"/>
      </w:pPr>
      <w:r>
        <w:rPr>
          <w:b/>
          <w:bCs/>
        </w:rPr>
        <w:t xml:space="preserve">Example 17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requires a nonzero denominator.</w:t>
      </w:r>
    </w:p>
    <w:bookmarkEnd w:id="96"/>
    <w:bookmarkStart w:id="97" w:name="def-person-years"/>
    <w:p>
      <w:pPr>
        <w:pStyle w:val="BodyText"/>
      </w:pPr>
      <w:r>
        <w:rPr>
          <w:b/>
          <w:bCs/>
        </w:rPr>
        <w:t xml:space="preserve">Definition 18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97"/>
    <w:bookmarkStart w:id="98" w:name="exm-person-years"/>
    <w:p>
      <w:pPr>
        <w:pStyle w:val="BodyText"/>
      </w:pPr>
      <w:r>
        <w:rPr>
          <w:b/>
          <w:bCs/>
        </w:rPr>
        <w:t xml:space="preserve">Example 18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98"/>
    <w:bookmarkStart w:id="99" w:name="def-rate"/>
    <w:p>
      <w:pPr>
        <w:pStyle w:val="BodyText"/>
      </w:pPr>
      <w:r>
        <w:rPr>
          <w:b/>
          <w:bCs/>
        </w:rPr>
        <w:t xml:space="preserve">Definition 19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99"/>
    <w:p>
      <w:pPr>
        <w:pStyle w:val="BodyText"/>
      </w:pPr>
      <w:r>
        <w:t xml:space="preserve">cf. </w:t>
      </w:r>
      <w:hyperlink r:id="rId100">
        <w:r>
          <w:rPr>
            <w:rStyle w:val="Hyperlink"/>
          </w:rPr>
          <w:t xml:space="preserve">https://en.wikipedia.org/wiki/Rate_(mathematics)</w:t>
        </w:r>
      </w:hyperlink>
    </w:p>
    <w:bookmarkStart w:id="102" w:name="def-ratio"/>
    <w:p>
      <w:pPr>
        <w:pStyle w:val="BodyText"/>
      </w:pPr>
      <w:r>
        <w:rPr>
          <w:b/>
          <w:bCs/>
        </w:rPr>
        <w:t xml:space="preserve">Definition 20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01">
        <w:r>
          <w:rPr>
            <w:rStyle w:val="Hyperlink"/>
          </w:rPr>
          <w:t xml:space="preserve">https://en.wikipedia.org/wiki/Ratio</w:t>
        </w:r>
      </w:hyperlink>
    </w:p>
    <w:bookmarkEnd w:id="102"/>
    <w:bookmarkStart w:id="103" w:name="exm-ratio"/>
    <w:p>
      <w:pPr>
        <w:pStyle w:val="BodyText"/>
      </w:pPr>
      <w:r>
        <w:rPr>
          <w:b/>
          <w:bCs/>
        </w:rPr>
        <w:t xml:space="preserve">Example 19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20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03"/>
    <w:bookmarkStart w:id="106" w:name="def-proportion"/>
    <w:p>
      <w:pPr>
        <w:pStyle w:val="FirstParagraph"/>
      </w:pPr>
      <w:r>
        <w:rPr>
          <w:b/>
          <w:bCs/>
        </w:rPr>
        <w:t xml:space="preserve">Definition 21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06"/>
    <w:bookmarkStart w:id="107" w:name="exm-proportion"/>
    <w:p>
      <w:pPr>
        <w:pStyle w:val="BodyText"/>
      </w:pPr>
      <w:r>
        <w:rPr>
          <w:b/>
          <w:bCs/>
        </w:rPr>
        <w:t xml:space="preserve">Example 20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21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21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07"/>
    <w:bookmarkStart w:id="109" w:name="def-proportional"/>
    <w:p>
      <w:pPr>
        <w:pStyle w:val="FirstParagraph"/>
      </w:pPr>
      <w:r>
        <w:rPr>
          <w:b/>
          <w:bCs/>
        </w:rPr>
        <w:t xml:space="preserve">Definition 22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08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09"/>
    <w:bookmarkStart w:id="110" w:name="exm-proportional"/>
    <w:p>
      <w:pPr>
        <w:pStyle w:val="BodyText"/>
      </w:pPr>
      <w:r>
        <w:rPr>
          <w:b/>
          <w:bCs/>
        </w:rPr>
        <w:t xml:space="preserve">Example 21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10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https://en.wikipedia.org/wiki/Population_proportion#Mathematical_definition</w:t>
        </w:r>
      </w:hyperlink>
    </w:p>
    <w:bookmarkStart w:id="113" w:name="refs"/>
    <w:bookmarkStart w:id="112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12"/>
    <w:bookmarkEnd w:id="113"/>
    <w:bookmarkEnd w:id="1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35" Type="http://schemas.openxmlformats.org/officeDocument/2006/relationships/hyperlink" Target="algebra-basics.html#def-maximum" TargetMode="External"/><Relationship Id="rId34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37" Type="http://schemas.openxmlformats.org/officeDocument/2006/relationships/hyperlink" Target="algebra-basics.html#thm-neg-ineq" TargetMode="External"/><Relationship Id="rId104" Type="http://schemas.openxmlformats.org/officeDocument/2006/relationships/hyperlink" Target="https://en.wikipedia.org/wiki/Population_proportion" TargetMode="External"/><Relationship Id="rId111" Type="http://schemas.openxmlformats.org/officeDocument/2006/relationships/hyperlink" Target="https://en.wikipedia.org/wiki/Population_proportion#Mathematical_definition" TargetMode="External"/><Relationship Id="rId105" Type="http://schemas.openxmlformats.org/officeDocument/2006/relationships/hyperlink" Target="https://en.wikipedia.org/wiki/Proportion_(mathematics)" TargetMode="External"/><Relationship Id="rId108" Type="http://schemas.openxmlformats.org/officeDocument/2006/relationships/hyperlink" Target="https://en.wikipedia.org/wiki/Proportionality_(mathematics)" TargetMode="External"/><Relationship Id="rId100" Type="http://schemas.openxmlformats.org/officeDocument/2006/relationships/hyperlink" Target="https://en.wikipedia.org/wiki/Rate_(mathematics)" TargetMode="External"/><Relationship Id="rId101" Type="http://schemas.openxmlformats.org/officeDocument/2006/relationships/hyperlink" Target="https://en.wikipedia.org/wiki/Ratio" TargetMode="External"/><Relationship Id="rId90" Type="http://schemas.openxmlformats.org/officeDocument/2006/relationships/hyperlink" Target="notation.qmd#def-range-of-variable" TargetMode="External"/><Relationship Id="rId91" Type="http://schemas.openxmlformats.org/officeDocument/2006/relationships/hyperlink" Target="notation.qmd#sec-notational-shorthands" TargetMode="External"/><Relationship Id="rId28" Type="http://schemas.openxmlformats.org/officeDocument/2006/relationships/hyperlink" Target="optimization.qmd#def-strictly-convex" TargetMode="External"/><Relationship Id="rId86" Type="http://schemas.openxmlformats.org/officeDocument/2006/relationships/hyperlink" Target="sets-functions.qmd#def-finite-set" TargetMode="External"/><Relationship Id="rId14" Type="http://schemas.openxmlformats.org/officeDocument/2006/relationships/hyperlink" Target="sets-functions.qmd#def-function" TargetMode="External"/><Relationship Id="rId15" Type="http://schemas.openxmlformats.org/officeDocument/2006/relationships/hyperlink" Target="sets-functions.qmd#def-graph" TargetMode="External"/><Relationship Id="rId31" Type="http://schemas.openxmlformats.org/officeDocument/2006/relationships/hyperlink" Target="sets-functions.qmd#def-image" TargetMode="External"/><Relationship Id="rId12" Type="http://schemas.openxmlformats.org/officeDocument/2006/relationships/hyperlink" Target="sets-functions.qmd#def-interval" TargetMode="External"/><Relationship Id="rId87" Type="http://schemas.openxmlformats.org/officeDocument/2006/relationships/hyperlink" Target="sets-functions.qmd#def-set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35" Type="http://schemas.openxmlformats.org/officeDocument/2006/relationships/hyperlink" Target="algebra-basics.html#def-maximum" TargetMode="External"/><Relationship Id="rId34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37" Type="http://schemas.openxmlformats.org/officeDocument/2006/relationships/hyperlink" Target="algebra-basics.html#thm-neg-ineq" TargetMode="External"/><Relationship Id="rId104" Type="http://schemas.openxmlformats.org/officeDocument/2006/relationships/hyperlink" Target="https://en.wikipedia.org/wiki/Population_proportion" TargetMode="External"/><Relationship Id="rId111" Type="http://schemas.openxmlformats.org/officeDocument/2006/relationships/hyperlink" Target="https://en.wikipedia.org/wiki/Population_proportion#Mathematical_definition" TargetMode="External"/><Relationship Id="rId105" Type="http://schemas.openxmlformats.org/officeDocument/2006/relationships/hyperlink" Target="https://en.wikipedia.org/wiki/Proportion_(mathematics)" TargetMode="External"/><Relationship Id="rId108" Type="http://schemas.openxmlformats.org/officeDocument/2006/relationships/hyperlink" Target="https://en.wikipedia.org/wiki/Proportionality_(mathematics)" TargetMode="External"/><Relationship Id="rId100" Type="http://schemas.openxmlformats.org/officeDocument/2006/relationships/hyperlink" Target="https://en.wikipedia.org/wiki/Rate_(mathematics)" TargetMode="External"/><Relationship Id="rId101" Type="http://schemas.openxmlformats.org/officeDocument/2006/relationships/hyperlink" Target="https://en.wikipedia.org/wiki/Ratio" TargetMode="External"/><Relationship Id="rId90" Type="http://schemas.openxmlformats.org/officeDocument/2006/relationships/hyperlink" Target="notation.qmd#def-range-of-variable" TargetMode="External"/><Relationship Id="rId91" Type="http://schemas.openxmlformats.org/officeDocument/2006/relationships/hyperlink" Target="notation.qmd#sec-notational-shorthands" TargetMode="External"/><Relationship Id="rId28" Type="http://schemas.openxmlformats.org/officeDocument/2006/relationships/hyperlink" Target="optimization.qmd#def-strictly-convex" TargetMode="External"/><Relationship Id="rId86" Type="http://schemas.openxmlformats.org/officeDocument/2006/relationships/hyperlink" Target="sets-functions.qmd#def-finite-set" TargetMode="External"/><Relationship Id="rId14" Type="http://schemas.openxmlformats.org/officeDocument/2006/relationships/hyperlink" Target="sets-functions.qmd#def-function" TargetMode="External"/><Relationship Id="rId15" Type="http://schemas.openxmlformats.org/officeDocument/2006/relationships/hyperlink" Target="sets-functions.qmd#def-graph" TargetMode="External"/><Relationship Id="rId31" Type="http://schemas.openxmlformats.org/officeDocument/2006/relationships/hyperlink" Target="sets-functions.qmd#def-image" TargetMode="External"/><Relationship Id="rId12" Type="http://schemas.openxmlformats.org/officeDocument/2006/relationships/hyperlink" Target="sets-functions.qmd#def-interval" TargetMode="External"/><Relationship Id="rId87" Type="http://schemas.openxmlformats.org/officeDocument/2006/relationships/hyperlink" Target="sets-function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2026-10-13T03:30:56Z</dcterms:created>
  <dcterms:modified xsi:type="dcterms:W3CDTF">2026-10-13T03:30:56Z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20:19:17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