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02:06:21 (PDT)</w:t>
      </w:r>
    </w:p>
    <w:bookmarkStart w:id="2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p>
      <w:pPr>
        <w:pStyle w:val="BodyText"/>
      </w:pPr>
      <w:r>
        <w:t xml:space="preserve">In practice, the theorem 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1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(whose covariance terms are 0 for</w:t>
      </w:r>
      <w:r>
        <w:t xml:space="preserve"> </w:t>
      </w:r>
      <w:hyperlink r:id="rId14">
        <w:r>
          <w:rPr>
            <w:rStyle w:val="Hyperlink"/>
          </w:rPr>
          <w:t xml:space="preserve">independent summands</w:t>
        </w:r>
      </w:hyperlink>
      <w:r>
        <w:t xml:space="preserve">)</w:t>
      </w:r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1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3"/>
    <w:bookmarkEnd w:id="24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2026-09-28T09:11:50Z</dcterms:created>
  <dcterms:modified xsi:type="dcterms:W3CDTF">2026-09-28T09:11:50Z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02:06:21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