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2026-09-28 11:43:57 (PDT)</w:t>
      </w:r>
    </w:p>
    <w:bookmarkStart w:id="24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p>
      <w:pPr>
        <w:pStyle w:val="BodyText"/>
      </w:pPr>
      <w:r>
        <w:t xml:space="preserve">In practice, the theorem 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1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(whose covariance terms are 0 for</w:t>
      </w:r>
      <w:r>
        <w:t xml:space="preserve"> </w:t>
      </w:r>
      <w:hyperlink r:id="rId14">
        <w:r>
          <w:rPr>
            <w:rStyle w:val="Hyperlink"/>
          </w:rPr>
          <w:t xml:space="preserve">independent summands</w:t>
        </w:r>
      </w:hyperlink>
      <w:r>
        <w:t xml:space="preserve">)</w:t>
      </w:r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3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18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2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3"/>
    <w:bookmarkEnd w:id="24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Start w:id="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4" Target="variance-covariance.qmd#thm-indpt-uncorrelated" TargetMode="External" /><Relationship Type="http://schemas.openxmlformats.org/officeDocument/2006/relationships/hyperlink" Id="rId13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2026-09-28T18:47:12Z</dcterms:created>
  <dcterms:modified xsi:type="dcterms:W3CDTF">2026-09-28T18:47:12Z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11:43:57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